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A4DB9">
      <w:pPr>
        <w:rPr>
          <w:color w:val="000000"/>
          <w:sz w:val="21"/>
          <w:szCs w:val="21"/>
          <w:highlight w:val="none"/>
        </w:rPr>
      </w:pPr>
      <w:r>
        <w:rPr>
          <w:rFonts w:hint="eastAsia" w:ascii="宋体" w:hAnsi="宋体" w:cs="宋体"/>
          <w:b/>
          <w:color w:val="000000"/>
          <w:sz w:val="21"/>
          <w:szCs w:val="21"/>
          <w:highlight w:val="none"/>
        </w:rPr>
        <w:t>附件1：资格审查条件</w:t>
      </w:r>
    </w:p>
    <w:p w14:paraId="4C04641C">
      <w:pPr>
        <w:pStyle w:val="3"/>
        <w:rPr>
          <w:rFonts w:hint="eastAsia" w:ascii="宋体" w:hAnsi="宋体" w:cs="宋体"/>
          <w:b/>
          <w:color w:val="000000"/>
          <w:sz w:val="24"/>
          <w:highlight w:val="none"/>
        </w:rPr>
      </w:pPr>
    </w:p>
    <w:p w14:paraId="397FDC8D">
      <w:pPr>
        <w:pStyle w:val="11"/>
        <w:adjustRightInd w:val="0"/>
        <w:snapToGrid w:val="0"/>
        <w:ind w:firstLine="422"/>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附录1  资格审查条件(资质最低条件)</w:t>
      </w:r>
    </w:p>
    <w:tbl>
      <w:tblPr>
        <w:tblStyle w:val="9"/>
        <w:tblpPr w:leftFromText="180" w:rightFromText="180" w:vertAnchor="text" w:horzAnchor="page" w:tblpX="1407" w:tblpY="25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20"/>
      </w:tblGrid>
      <w:tr w14:paraId="0130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89" w:hRule="atLeast"/>
          <w:tblHeader/>
        </w:trPr>
        <w:tc>
          <w:tcPr>
            <w:tcW w:w="9320" w:type="dxa"/>
            <w:vAlign w:val="center"/>
          </w:tcPr>
          <w:p w14:paraId="3FD06541">
            <w:pPr>
              <w:wordWrap w:val="0"/>
              <w:adjustRightInd w:val="0"/>
              <w:snapToGrid w:val="0"/>
              <w:spacing w:line="360" w:lineRule="auto"/>
              <w:jc w:val="center"/>
              <w:rPr>
                <w:rFonts w:hint="eastAsia" w:ascii="宋体" w:hAnsi="宋体" w:cs="宋体"/>
                <w:b/>
                <w:bCs/>
                <w:color w:val="000000"/>
                <w:sz w:val="21"/>
                <w:szCs w:val="21"/>
                <w:highlight w:val="none"/>
                <w:shd w:val="clear" w:color="auto" w:fill="FFFFFF"/>
              </w:rPr>
            </w:pPr>
            <w:r>
              <w:rPr>
                <w:rFonts w:hint="eastAsia" w:ascii="宋体" w:hAnsi="宋体" w:cs="宋体"/>
                <w:b/>
                <w:bCs/>
                <w:color w:val="000000"/>
                <w:sz w:val="21"/>
                <w:szCs w:val="21"/>
                <w:highlight w:val="none"/>
                <w:shd w:val="clear" w:color="auto" w:fill="FFFFFF"/>
              </w:rPr>
              <w:t>资质要求</w:t>
            </w:r>
          </w:p>
        </w:tc>
      </w:tr>
      <w:tr w14:paraId="6DED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20" w:hRule="atLeast"/>
        </w:trPr>
        <w:tc>
          <w:tcPr>
            <w:tcW w:w="9320" w:type="dxa"/>
            <w:tcBorders>
              <w:bottom w:val="single" w:color="auto" w:sz="4" w:space="0"/>
            </w:tcBorders>
            <w:vAlign w:val="center"/>
          </w:tcPr>
          <w:p w14:paraId="6DF74293">
            <w:pPr>
              <w:adjustRightInd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制造商：具有独立企业法人资格，持有有效企业营业执照；</w:t>
            </w:r>
          </w:p>
          <w:p w14:paraId="6D5B4B2E">
            <w:pPr>
              <w:adjustRightInd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代理商：具有独立企业法人资格，持有有效企业营业执照，具有制造商出具的针对本招标项目所投设备的唯一授权书，且该制造商满足前述关于“制造商”的要求。</w:t>
            </w:r>
          </w:p>
        </w:tc>
      </w:tr>
    </w:tbl>
    <w:p w14:paraId="1930B423">
      <w:pPr>
        <w:pStyle w:val="11"/>
        <w:wordWrap w:val="0"/>
        <w:adjustRightInd w:val="0"/>
        <w:snapToGrid w:val="0"/>
        <w:ind w:firstLine="422"/>
        <w:rPr>
          <w:rFonts w:hint="eastAsia" w:ascii="宋体" w:hAnsi="宋体" w:cs="宋体"/>
          <w:b/>
          <w:color w:val="000000"/>
          <w:sz w:val="21"/>
          <w:szCs w:val="21"/>
          <w:highlight w:val="none"/>
          <w:shd w:val="clear" w:color="auto" w:fill="FFFFFF"/>
        </w:rPr>
      </w:pPr>
    </w:p>
    <w:p w14:paraId="2CD72330">
      <w:pPr>
        <w:pStyle w:val="11"/>
        <w:wordWrap w:val="0"/>
        <w:adjustRightInd w:val="0"/>
        <w:snapToGrid w:val="0"/>
        <w:ind w:firstLine="422"/>
        <w:rPr>
          <w:rFonts w:hint="eastAsia" w:ascii="宋体" w:hAnsi="宋体" w:cs="宋体"/>
          <w:b/>
          <w:color w:val="000000"/>
          <w:sz w:val="21"/>
          <w:szCs w:val="21"/>
          <w:highlight w:val="none"/>
          <w:shd w:val="clear" w:color="auto" w:fill="FFFFFF"/>
        </w:rPr>
      </w:pPr>
    </w:p>
    <w:p w14:paraId="057AB804">
      <w:pPr>
        <w:pStyle w:val="11"/>
        <w:wordWrap w:val="0"/>
        <w:adjustRightInd w:val="0"/>
        <w:snapToGrid w:val="0"/>
        <w:ind w:firstLine="422"/>
        <w:rPr>
          <w:rFonts w:hint="eastAsia" w:ascii="宋体" w:hAnsi="宋体" w:cs="宋体"/>
          <w:b/>
          <w:color w:val="000000"/>
          <w:sz w:val="21"/>
          <w:szCs w:val="21"/>
          <w:highlight w:val="none"/>
          <w:shd w:val="clear" w:color="auto" w:fill="FFFFFF"/>
        </w:rPr>
      </w:pPr>
    </w:p>
    <w:p w14:paraId="17ACE0CE">
      <w:pPr>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附录2  资格审查条件(业绩最低要求)</w:t>
      </w:r>
    </w:p>
    <w:tbl>
      <w:tblPr>
        <w:tblStyle w:val="9"/>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7"/>
      </w:tblGrid>
      <w:tr w14:paraId="2BDD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9337" w:type="dxa"/>
            <w:vAlign w:val="center"/>
          </w:tcPr>
          <w:p w14:paraId="6775F8CB">
            <w:pPr>
              <w:adjustRightInd w:val="0"/>
              <w:snapToGrid w:val="0"/>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业绩要求</w:t>
            </w:r>
          </w:p>
        </w:tc>
      </w:tr>
      <w:tr w14:paraId="5925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9337" w:type="dxa"/>
            <w:vAlign w:val="center"/>
          </w:tcPr>
          <w:p w14:paraId="68FA6BD2">
            <w:pPr>
              <w:adjustRightInd w:val="0"/>
              <w:snapToGrid w:val="0"/>
              <w:rPr>
                <w:rFonts w:hint="eastAsia" w:ascii="宋体" w:hAnsi="宋体" w:cs="宋体"/>
                <w:bCs/>
                <w:color w:val="000000"/>
                <w:sz w:val="21"/>
                <w:szCs w:val="21"/>
                <w:highlight w:val="none"/>
                <w:shd w:val="clear" w:color="auto" w:fill="FFFFFF"/>
              </w:rPr>
            </w:pPr>
            <w:r>
              <w:rPr>
                <w:rFonts w:hint="eastAsia" w:ascii="宋体" w:hAnsi="宋体" w:cs="宋体"/>
                <w:bCs/>
                <w:color w:val="000000"/>
                <w:sz w:val="21"/>
                <w:szCs w:val="21"/>
                <w:highlight w:val="none"/>
                <w:shd w:val="clear" w:color="auto" w:fill="FFFFFF"/>
              </w:rPr>
              <w:t>近3年（2021年</w:t>
            </w:r>
            <w:r>
              <w:rPr>
                <w:rFonts w:hint="eastAsia" w:ascii="宋体" w:hAnsi="宋体" w:cs="宋体"/>
                <w:bCs/>
                <w:color w:val="000000"/>
                <w:sz w:val="21"/>
                <w:szCs w:val="21"/>
                <w:highlight w:val="none"/>
                <w:shd w:val="clear" w:color="auto" w:fill="FFFFFF"/>
                <w:lang w:eastAsia="zh-CN"/>
              </w:rPr>
              <w:t>11月</w:t>
            </w:r>
            <w:r>
              <w:rPr>
                <w:rFonts w:hint="eastAsia" w:ascii="宋体" w:hAnsi="宋体" w:cs="宋体"/>
                <w:bCs/>
                <w:color w:val="000000"/>
                <w:sz w:val="21"/>
                <w:szCs w:val="21"/>
                <w:highlight w:val="none"/>
                <w:shd w:val="clear" w:color="auto" w:fill="FFFFFF"/>
              </w:rPr>
              <w:t>1日至今，以合同签订时间为准）累计不少于</w:t>
            </w:r>
            <w:r>
              <w:rPr>
                <w:rFonts w:hint="eastAsia" w:ascii="宋体" w:hAnsi="宋体" w:cs="宋体"/>
                <w:color w:val="000000"/>
                <w:sz w:val="21"/>
                <w:szCs w:val="21"/>
                <w:highlight w:val="none"/>
                <w:lang w:val="en-US" w:eastAsia="zh-CN"/>
              </w:rPr>
              <w:t>30台移动充电设备供货业绩。</w:t>
            </w:r>
          </w:p>
        </w:tc>
      </w:tr>
    </w:tbl>
    <w:p w14:paraId="2A5C2002">
      <w:pPr>
        <w:spacing w:line="288" w:lineRule="auto"/>
        <w:rPr>
          <w:rFonts w:hint="eastAsia" w:ascii="宋体" w:hAnsi="宋体"/>
          <w:color w:val="000000"/>
          <w:szCs w:val="21"/>
          <w:highlight w:val="none"/>
          <w:shd w:val="clear" w:color="auto" w:fill="FFFFFF"/>
        </w:rPr>
      </w:pPr>
      <w:r>
        <w:rPr>
          <w:rFonts w:hint="eastAsia" w:ascii="宋体" w:hAnsi="宋体"/>
          <w:color w:val="000000"/>
          <w:szCs w:val="21"/>
          <w:highlight w:val="none"/>
        </w:rPr>
        <w:t>注：</w:t>
      </w:r>
      <w:r>
        <w:rPr>
          <w:rFonts w:ascii="宋体" w:hAnsi="宋体"/>
          <w:color w:val="000000"/>
          <w:szCs w:val="21"/>
          <w:highlight w:val="none"/>
          <w:shd w:val="clear" w:color="auto" w:fill="FFFFFF"/>
        </w:rPr>
        <w:t>代理商</w:t>
      </w:r>
      <w:r>
        <w:rPr>
          <w:rFonts w:hint="eastAsia" w:ascii="宋体" w:hAnsi="宋体"/>
          <w:color w:val="000000"/>
          <w:szCs w:val="21"/>
          <w:highlight w:val="none"/>
          <w:shd w:val="clear" w:color="auto" w:fill="FFFFFF"/>
        </w:rPr>
        <w:t>和制造商的业绩可互用，以上业绩不包含制造商和代理商签订的合同</w:t>
      </w:r>
      <w:r>
        <w:rPr>
          <w:rFonts w:hint="eastAsia" w:ascii="宋体" w:hAnsi="宋体"/>
          <w:color w:val="000000"/>
          <w:szCs w:val="21"/>
          <w:highlight w:val="none"/>
        </w:rPr>
        <w:t>。</w:t>
      </w:r>
    </w:p>
    <w:p w14:paraId="479E0872">
      <w:pPr>
        <w:rPr>
          <w:rFonts w:hint="eastAsia" w:ascii="宋体" w:hAnsi="宋体" w:cs="宋体"/>
          <w:color w:val="000000"/>
          <w:sz w:val="21"/>
          <w:szCs w:val="21"/>
          <w:highlight w:val="none"/>
        </w:rPr>
      </w:pPr>
    </w:p>
    <w:p w14:paraId="2758FE09">
      <w:pPr>
        <w:rPr>
          <w:rFonts w:hint="eastAsia" w:ascii="宋体" w:hAnsi="宋体" w:cs="宋体"/>
          <w:color w:val="000000"/>
          <w:sz w:val="21"/>
          <w:szCs w:val="21"/>
          <w:highlight w:val="none"/>
        </w:rPr>
      </w:pPr>
    </w:p>
    <w:p w14:paraId="1EEEBB24">
      <w:pPr>
        <w:rPr>
          <w:rFonts w:hint="eastAsia" w:ascii="宋体" w:hAnsi="宋体" w:cs="宋体"/>
          <w:color w:val="000000"/>
          <w:sz w:val="21"/>
          <w:szCs w:val="21"/>
          <w:highlight w:val="none"/>
        </w:rPr>
      </w:pPr>
    </w:p>
    <w:p w14:paraId="6BDC32A1">
      <w:pPr>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附录3 资格审查条件(信誉最低要求)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9"/>
      </w:tblGrid>
      <w:tr w14:paraId="6E9B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9219" w:type="dxa"/>
            <w:vAlign w:val="center"/>
          </w:tcPr>
          <w:p w14:paraId="13F76BB0">
            <w:pPr>
              <w:adjustRightInd w:val="0"/>
              <w:snapToGrid w:val="0"/>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信誉要求</w:t>
            </w:r>
          </w:p>
        </w:tc>
      </w:tr>
      <w:tr w14:paraId="662B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9219" w:type="dxa"/>
            <w:vAlign w:val="center"/>
          </w:tcPr>
          <w:p w14:paraId="0E0EE62C">
            <w:pPr>
              <w:adjustRightInd w:val="0"/>
              <w:snapToGrid w:val="0"/>
              <w:rPr>
                <w:rFonts w:hint="eastAsia" w:ascii="宋体" w:hAnsi="宋体" w:cs="宋体"/>
                <w:b/>
                <w:color w:val="000000"/>
                <w:sz w:val="21"/>
                <w:szCs w:val="21"/>
                <w:highlight w:val="none"/>
                <w:shd w:val="clear" w:color="auto" w:fill="FFFFFF"/>
              </w:rPr>
            </w:pPr>
            <w:r>
              <w:rPr>
                <w:rFonts w:hint="eastAsia" w:ascii="宋体" w:hAnsi="宋体" w:cs="宋体"/>
                <w:color w:val="000000"/>
                <w:sz w:val="21"/>
                <w:szCs w:val="21"/>
                <w:highlight w:val="none"/>
              </w:rPr>
              <w:t>投标人在过去1年中(2023年</w:t>
            </w:r>
            <w:r>
              <w:rPr>
                <w:rFonts w:hint="eastAsia" w:ascii="宋体" w:hAnsi="宋体" w:cs="宋体"/>
                <w:color w:val="000000"/>
                <w:sz w:val="21"/>
                <w:szCs w:val="21"/>
                <w:highlight w:val="none"/>
                <w:lang w:eastAsia="zh-CN"/>
              </w:rPr>
              <w:t>11月</w:t>
            </w:r>
            <w:r>
              <w:rPr>
                <w:rFonts w:hint="eastAsia" w:ascii="宋体" w:hAnsi="宋体" w:cs="宋体"/>
                <w:color w:val="000000"/>
                <w:sz w:val="21"/>
                <w:szCs w:val="21"/>
                <w:highlight w:val="none"/>
              </w:rPr>
              <w:t>1日至今)不曾在</w:t>
            </w:r>
            <w:r>
              <w:rPr>
                <w:rFonts w:hint="eastAsia" w:ascii="宋体" w:hAnsi="宋体" w:cs="宋体"/>
                <w:color w:val="000000"/>
                <w:sz w:val="21"/>
                <w:szCs w:val="21"/>
                <w:highlight w:val="none"/>
                <w:lang w:val="en-US" w:eastAsia="zh-CN"/>
              </w:rPr>
              <w:t>移动充电设备</w:t>
            </w:r>
            <w:r>
              <w:rPr>
                <w:rFonts w:hint="eastAsia" w:ascii="宋体" w:hAnsi="宋体" w:cs="宋体"/>
                <w:color w:val="000000"/>
                <w:sz w:val="21"/>
                <w:szCs w:val="21"/>
                <w:highlight w:val="none"/>
              </w:rPr>
              <w:t>供货合同中违约而被驱逐或因投标人自身的原因而使</w:t>
            </w:r>
            <w:r>
              <w:rPr>
                <w:rFonts w:hint="eastAsia" w:ascii="宋体" w:hAnsi="宋体" w:cs="宋体"/>
                <w:color w:val="000000"/>
                <w:sz w:val="21"/>
                <w:szCs w:val="21"/>
                <w:highlight w:val="none"/>
                <w:lang w:val="en-US" w:eastAsia="zh-CN"/>
              </w:rPr>
              <w:t>移动充电设备</w:t>
            </w:r>
            <w:r>
              <w:rPr>
                <w:rFonts w:hint="eastAsia" w:ascii="宋体" w:hAnsi="宋体" w:cs="宋体"/>
                <w:color w:val="000000"/>
                <w:sz w:val="21"/>
                <w:szCs w:val="21"/>
                <w:highlight w:val="none"/>
              </w:rPr>
              <w:t>供货合同被解除。</w:t>
            </w:r>
          </w:p>
        </w:tc>
      </w:tr>
    </w:tbl>
    <w:p w14:paraId="206F50A6">
      <w:pPr>
        <w:pStyle w:val="12"/>
        <w:ind w:left="400"/>
        <w:rPr>
          <w:color w:val="000000"/>
          <w:highlight w:val="none"/>
        </w:rPr>
      </w:pPr>
    </w:p>
    <w:p w14:paraId="38D71DE5">
      <w:pPr>
        <w:pStyle w:val="12"/>
        <w:pageBreakBefore/>
        <w:snapToGrid w:val="0"/>
        <w:spacing w:after="0" w:line="360" w:lineRule="auto"/>
        <w:ind w:left="0" w:firstLine="0"/>
        <w:rPr>
          <w:color w:val="000000"/>
          <w:szCs w:val="21"/>
          <w:highlight w:val="none"/>
        </w:rPr>
      </w:pPr>
      <w:r>
        <w:rPr>
          <w:rFonts w:hint="eastAsia" w:ascii="宋体" w:hAnsi="宋体" w:cs="宋体"/>
          <w:b/>
          <w:color w:val="000000"/>
          <w:szCs w:val="21"/>
          <w:highlight w:val="none"/>
        </w:rPr>
        <w:t>附件2：评标办法前附表</w:t>
      </w:r>
    </w:p>
    <w:p w14:paraId="72A518F0">
      <w:pPr>
        <w:pStyle w:val="2"/>
        <w:wordWrap w:val="0"/>
        <w:spacing w:before="0" w:line="360" w:lineRule="auto"/>
        <w:rPr>
          <w:rFonts w:hint="eastAsia" w:ascii="宋体" w:hAnsi="宋体" w:cs="宋体"/>
          <w:color w:val="auto"/>
          <w:spacing w:val="1"/>
          <w:sz w:val="28"/>
          <w:szCs w:val="28"/>
          <w:highlight w:val="none"/>
        </w:rPr>
      </w:pPr>
      <w:bookmarkStart w:id="0" w:name="__RefHeading___Toc22300259"/>
      <w:bookmarkEnd w:id="0"/>
      <w:r>
        <w:rPr>
          <w:rFonts w:hint="eastAsia" w:ascii="宋体" w:hAnsi="宋体" w:cs="宋体"/>
          <w:color w:val="auto"/>
          <w:spacing w:val="2"/>
          <w:sz w:val="24"/>
          <w:szCs w:val="24"/>
          <w:highlight w:val="none"/>
        </w:rPr>
        <w:t>评标办法前附表</w:t>
      </w:r>
    </w:p>
    <w:tbl>
      <w:tblPr>
        <w:tblStyle w:val="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5DEC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14:paraId="6E85B037">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7197" w:type="dxa"/>
            <w:vAlign w:val="center"/>
          </w:tcPr>
          <w:p w14:paraId="70889F6C">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评审因素与标准</w:t>
            </w:r>
          </w:p>
        </w:tc>
      </w:tr>
      <w:tr w14:paraId="3E41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03070AAD">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p>
        </w:tc>
        <w:tc>
          <w:tcPr>
            <w:tcW w:w="1317" w:type="dxa"/>
            <w:vAlign w:val="center"/>
          </w:tcPr>
          <w:p w14:paraId="6155D1CF">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评标办法</w:t>
            </w:r>
          </w:p>
        </w:tc>
        <w:tc>
          <w:tcPr>
            <w:tcW w:w="7197" w:type="dxa"/>
            <w:vAlign w:val="center"/>
          </w:tcPr>
          <w:p w14:paraId="01C2791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14:paraId="430B768D">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(1)评标价低的投标人优先；</w:t>
            </w:r>
          </w:p>
          <w:p w14:paraId="3B727A3D">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(2)技术得分较高的投标人优先；</w:t>
            </w:r>
          </w:p>
          <w:p w14:paraId="558283C8">
            <w:pPr>
              <w:keepNext w:val="0"/>
              <w:keepLines w:val="0"/>
              <w:pageBreakBefore w:val="0"/>
              <w:kinsoku/>
              <w:wordWrap/>
              <w:overflowPunct/>
              <w:topLinePunct w:val="0"/>
              <w:bidi w:val="0"/>
              <w:snapToGrid w:val="0"/>
              <w:spacing w:line="3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(3)满足资格审查条件附录2（业绩最低要求）要求的累计</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rPr>
              <w:t>数量多的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优先。</w:t>
            </w:r>
          </w:p>
        </w:tc>
      </w:tr>
      <w:tr w14:paraId="3580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20E659C5">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2.1.1</w:t>
            </w:r>
          </w:p>
          <w:p w14:paraId="3DB10759">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2.1.3</w:t>
            </w:r>
          </w:p>
        </w:tc>
        <w:tc>
          <w:tcPr>
            <w:tcW w:w="1317" w:type="dxa"/>
            <w:vAlign w:val="center"/>
          </w:tcPr>
          <w:p w14:paraId="37FCD7E0">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形式评审与响应性评审标准</w:t>
            </w:r>
          </w:p>
        </w:tc>
        <w:tc>
          <w:tcPr>
            <w:tcW w:w="7197" w:type="dxa"/>
            <w:vAlign w:val="center"/>
          </w:tcPr>
          <w:p w14:paraId="3AD91FB0">
            <w:pPr>
              <w:keepNext w:val="0"/>
              <w:keepLines w:val="0"/>
              <w:pageBreakBefore w:val="0"/>
              <w:kinsoku/>
              <w:wordWrap/>
              <w:overflowPunct/>
              <w:topLinePunct w:val="0"/>
              <w:bidi w:val="0"/>
              <w:snapToGrid w:val="0"/>
              <w:spacing w:line="32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第一个信封（商务文件</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评审标准：</w:t>
            </w:r>
          </w:p>
          <w:p w14:paraId="17C86DB1">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14:paraId="64E7135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a.投标函按照招标文件规定填报了招标人名称、项目名称、补遗书编号（如有）、交货地点、交货期、质量要求；</w:t>
            </w:r>
          </w:p>
          <w:p w14:paraId="391AA548">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b.投标文件组成齐全完整，内容均按规定填写；</w:t>
            </w:r>
          </w:p>
          <w:p w14:paraId="5CABDF9C">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（2）投标文件上法定代表人或其委托代理人的签字、投标人的单位章盖章齐全，符合招标文件规定。</w:t>
            </w:r>
          </w:p>
          <w:p w14:paraId="7AE18C57">
            <w:pPr>
              <w:keepNext w:val="0"/>
              <w:keepLines w:val="0"/>
              <w:pageBreakBefore w:val="0"/>
              <w:kinsoku/>
              <w:wordWrap/>
              <w:overflowPunct/>
              <w:topLinePunct w:val="0"/>
              <w:bidi w:val="0"/>
              <w:snapToGrid w:val="0"/>
              <w:spacing w:line="320" w:lineRule="exact"/>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（3）投标人按照招标文件的规定提供了投标保证金，满足投标人须知3.4.1规定。</w:t>
            </w:r>
          </w:p>
          <w:p w14:paraId="14B94DFE">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（4）投标人法定代表人授权委托代理人签署投标文件的，须提交授权委托书，授权委托书的签字盖章符合招标文件规定。</w:t>
            </w:r>
          </w:p>
          <w:p w14:paraId="4234F3DA">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（5）投标人法定代表人亲自签署投标文件的，提供了法定代表人身份证明,法定代表人身份证明的签字盖章符合招标文件规定。</w:t>
            </w:r>
          </w:p>
          <w:p w14:paraId="7C426683">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（6）投标人未以联合体形式投标。</w:t>
            </w:r>
          </w:p>
          <w:p w14:paraId="1CB0D140">
            <w:pPr>
              <w:keepNext w:val="0"/>
              <w:keepLines w:val="0"/>
              <w:pageBreakBefore w:val="0"/>
              <w:kinsoku/>
              <w:wordWrap/>
              <w:overflowPunct/>
              <w:topLinePunct w:val="0"/>
              <w:bidi w:val="0"/>
              <w:snapToGrid w:val="0"/>
              <w:spacing w:line="320" w:lineRule="exact"/>
              <w:ind w:right="113"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（7）投标人未对本项目进行分包。</w:t>
            </w:r>
          </w:p>
          <w:p w14:paraId="0D37AB72">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（8）同一投标人未提交两个以上不同的投标文件。</w:t>
            </w:r>
          </w:p>
          <w:p w14:paraId="135E1B6E">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（9）投标文件中未出现有关投标报价的内容。</w:t>
            </w:r>
          </w:p>
          <w:p w14:paraId="18C0172A">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（10）投标文件载明的招标项目完成期限未超过招标文件规定的时限。</w:t>
            </w:r>
          </w:p>
          <w:p w14:paraId="09F14E72">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）权利义务符合招标文件规定：</w:t>
            </w:r>
          </w:p>
          <w:p w14:paraId="5BC307C1">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a．投标人应接受招标文件规定的风险划分原则，未提出新的风险划分办法；</w:t>
            </w:r>
          </w:p>
          <w:p w14:paraId="23AB6B84">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b．投标人未增加发包人的责任范围，或减少投标人义务；</w:t>
            </w:r>
          </w:p>
          <w:p w14:paraId="726162A9">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c．投标人未提出不同的工程验收、计量、支付办法；</w:t>
            </w:r>
          </w:p>
          <w:p w14:paraId="6DD019C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d．投标人对合同纠纷、事故处理办法未提出异议；</w:t>
            </w:r>
          </w:p>
          <w:p w14:paraId="6DC180E0">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e．投标人在投标活动中无欺诈行为；</w:t>
            </w:r>
          </w:p>
          <w:p w14:paraId="66619502">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f．投标人未对合同条款有重要保留</w:t>
            </w:r>
          </w:p>
          <w:p w14:paraId="23EE602B">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）投标文件对招标文件的实质性要求和条件（带</w:t>
            </w:r>
            <w:r>
              <w:rPr>
                <w:rFonts w:hint="eastAsia" w:ascii="宋体" w:hAnsi="宋体" w:cs="宋体"/>
                <w:color w:val="auto"/>
                <w:spacing w:val="-2"/>
                <w:sz w:val="21"/>
                <w:szCs w:val="21"/>
                <w:highlight w:val="none"/>
              </w:rPr>
              <w:t>*</w:t>
            </w:r>
            <w:r>
              <w:rPr>
                <w:rFonts w:hint="eastAsia" w:ascii="宋体" w:hAnsi="宋体" w:cs="宋体"/>
                <w:color w:val="auto"/>
                <w:sz w:val="21"/>
                <w:szCs w:val="21"/>
                <w:highlight w:val="none"/>
              </w:rPr>
              <w:t>的条款）作出响应，满足招标文件的要求。</w:t>
            </w:r>
          </w:p>
          <w:p w14:paraId="1441F85B">
            <w:pPr>
              <w:keepNext w:val="0"/>
              <w:keepLines w:val="0"/>
              <w:pageBreakBefore w:val="0"/>
              <w:kinsoku/>
              <w:wordWrap/>
              <w:overflowPunct/>
              <w:topLinePunct w:val="0"/>
              <w:bidi w:val="0"/>
              <w:snapToGrid w:val="0"/>
              <w:spacing w:line="320" w:lineRule="exact"/>
              <w:ind w:firstLine="420" w:firstLineChars="200"/>
              <w:textAlignment w:val="auto"/>
              <w:rPr>
                <w:rFonts w:hint="eastAsia"/>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）技术支持资料符合第二章“投标人须知”第 1.11.3 项规定</w:t>
            </w:r>
          </w:p>
          <w:p w14:paraId="7E039EAE">
            <w:pPr>
              <w:keepNext w:val="0"/>
              <w:keepLines w:val="0"/>
              <w:pageBreakBefore w:val="0"/>
              <w:kinsoku/>
              <w:wordWrap/>
              <w:overflowPunct/>
              <w:topLinePunct w:val="0"/>
              <w:bidi w:val="0"/>
              <w:snapToGrid w:val="0"/>
              <w:spacing w:line="320" w:lineRule="exact"/>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第二个信封（报价文件）评审标准：</w:t>
            </w:r>
          </w:p>
          <w:p w14:paraId="2ACDD75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14:paraId="196B3086">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a.投标函按照招标文件规定填报了招标人名称、项目名称、补遗书编号（如有）、投标报价（包括大写金额和小写金额）；</w:t>
            </w:r>
          </w:p>
          <w:p w14:paraId="34FAA823">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b.报价说明文字与招标文件规定一致，未对实质性内容进行修改和删除。</w:t>
            </w:r>
          </w:p>
          <w:p w14:paraId="3AF14017">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c.投标文件组成齐全完整，内容均按规定填写。</w:t>
            </w:r>
          </w:p>
          <w:p w14:paraId="051378BD">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（2）投标文件上法定代表人或委托代理人的签字、投标人的单位章盖章齐全，符合招标文件规定。</w:t>
            </w:r>
          </w:p>
          <w:p w14:paraId="12815126">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w:t>
            </w:r>
            <w:r>
              <w:rPr>
                <w:rFonts w:hint="eastAsia" w:ascii="宋体" w:hAnsi="宋体" w:cs="宋体"/>
                <w:color w:val="auto"/>
                <w:sz w:val="21"/>
                <w:szCs w:val="21"/>
                <w:highlight w:val="none"/>
                <w:lang w:val="en-US" w:eastAsia="zh-CN"/>
              </w:rPr>
              <w:t>报价</w:t>
            </w:r>
            <w:r>
              <w:rPr>
                <w:rFonts w:hint="eastAsia" w:ascii="宋体" w:hAnsi="宋体" w:cs="宋体"/>
                <w:color w:val="auto"/>
                <w:sz w:val="21"/>
                <w:szCs w:val="21"/>
                <w:highlight w:val="none"/>
              </w:rPr>
              <w:t>未超过招标文件设定的最高</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限价。</w:t>
            </w:r>
          </w:p>
          <w:p w14:paraId="5D41B81A">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（4）投标报价的大写金额能够确定具体数值。</w:t>
            </w:r>
          </w:p>
          <w:p w14:paraId="6C23E394">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（5）同一投标人未提交两个以上不同的投标报价。</w:t>
            </w:r>
          </w:p>
          <w:p w14:paraId="459E6948">
            <w:pPr>
              <w:keepNext w:val="0"/>
              <w:keepLines w:val="0"/>
              <w:pageBreakBefore w:val="0"/>
              <w:kinsoku/>
              <w:wordWrap/>
              <w:overflowPunct/>
              <w:topLinePunct w:val="0"/>
              <w:bidi w:val="0"/>
              <w:snapToGrid w:val="0"/>
              <w:spacing w:line="320" w:lineRule="exact"/>
              <w:ind w:firstLine="420" w:firstLineChars="200"/>
              <w:textAlignment w:val="auto"/>
              <w:rPr>
                <w:rFonts w:hint="eastAsia"/>
                <w:color w:val="auto"/>
                <w:highlight w:val="none"/>
              </w:rPr>
            </w:pPr>
            <w:r>
              <w:rPr>
                <w:rFonts w:hint="eastAsia" w:ascii="宋体" w:hAnsi="宋体" w:cs="宋体"/>
                <w:color w:val="auto"/>
                <w:sz w:val="21"/>
                <w:szCs w:val="21"/>
                <w:highlight w:val="none"/>
              </w:rPr>
              <w:t>（6）分项报价表中投标报价与投标函大写金额一致。</w:t>
            </w:r>
          </w:p>
        </w:tc>
      </w:tr>
      <w:tr w14:paraId="17E3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4F113558">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2.1.2</w:t>
            </w:r>
          </w:p>
        </w:tc>
        <w:tc>
          <w:tcPr>
            <w:tcW w:w="1317" w:type="dxa"/>
            <w:vAlign w:val="center"/>
          </w:tcPr>
          <w:p w14:paraId="2467A4B4">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资格评审标准</w:t>
            </w:r>
          </w:p>
        </w:tc>
        <w:tc>
          <w:tcPr>
            <w:tcW w:w="7197" w:type="dxa"/>
            <w:vAlign w:val="center"/>
          </w:tcPr>
          <w:p w14:paraId="19E34EC6">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（1）投标人具备有效的企业营业执照、组织机构代码证（三证合一或五证合一的除外）和基本账户开户许可证（或基本存款账户信息）；</w:t>
            </w:r>
          </w:p>
          <w:p w14:paraId="6BBF1826">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（2）投标人的资质符合招标文件规定；</w:t>
            </w:r>
          </w:p>
          <w:p w14:paraId="3EE38C97">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（3）投标人的类似项目业绩符合招标文件规定；</w:t>
            </w:r>
          </w:p>
          <w:p w14:paraId="3D89F6DE">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（4）投标人的信誉符合招标文件规定；</w:t>
            </w:r>
          </w:p>
          <w:p w14:paraId="338E12B3">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（5）投标人不存在第二章“投标人须知”第1.4.3项规定的任何一种情形。</w:t>
            </w:r>
          </w:p>
        </w:tc>
      </w:tr>
      <w:tr w14:paraId="25BF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14:paraId="2EB4A8E8">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1317" w:type="dxa"/>
            <w:vAlign w:val="center"/>
          </w:tcPr>
          <w:p w14:paraId="1C2C411F">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条款内容</w:t>
            </w:r>
          </w:p>
        </w:tc>
        <w:tc>
          <w:tcPr>
            <w:tcW w:w="7197" w:type="dxa"/>
            <w:vAlign w:val="center"/>
          </w:tcPr>
          <w:p w14:paraId="1EF64CEF">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编列内容</w:t>
            </w:r>
          </w:p>
        </w:tc>
      </w:tr>
      <w:tr w14:paraId="775E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052943CA">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2.2.1</w:t>
            </w:r>
          </w:p>
        </w:tc>
        <w:tc>
          <w:tcPr>
            <w:tcW w:w="1317" w:type="dxa"/>
            <w:vAlign w:val="center"/>
          </w:tcPr>
          <w:p w14:paraId="4573119D">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分值构成</w:t>
            </w:r>
          </w:p>
          <w:p w14:paraId="0EC03002">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（总分100分）</w:t>
            </w:r>
          </w:p>
        </w:tc>
        <w:tc>
          <w:tcPr>
            <w:tcW w:w="7197" w:type="dxa"/>
            <w:vAlign w:val="center"/>
          </w:tcPr>
          <w:p w14:paraId="4B9A5798">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caps w:val="0"/>
                <w:color w:val="000000"/>
                <w:spacing w:val="0"/>
                <w:sz w:val="21"/>
                <w:szCs w:val="21"/>
                <w:highlight w:val="none"/>
              </w:rPr>
            </w:pPr>
            <w:r>
              <w:rPr>
                <w:rFonts w:hint="eastAsia" w:ascii="宋体" w:hAnsi="宋体" w:eastAsia="宋体" w:cs="宋体"/>
                <w:caps w:val="0"/>
                <w:color w:val="000000"/>
                <w:spacing w:val="0"/>
                <w:sz w:val="21"/>
                <w:szCs w:val="21"/>
                <w:highlight w:val="none"/>
              </w:rPr>
              <w:t>第一个信封（商务及技术文件）评分分值构成：</w:t>
            </w:r>
          </w:p>
          <w:p w14:paraId="6D6C4134">
            <w:pPr>
              <w:keepNext w:val="0"/>
              <w:keepLines w:val="0"/>
              <w:pageBreakBefore w:val="0"/>
              <w:widowControl w:val="0"/>
              <w:kinsoku/>
              <w:wordWrap/>
              <w:overflowPunct/>
              <w:topLinePunct w:val="0"/>
              <w:bidi w:val="0"/>
              <w:adjustRightInd w:val="0"/>
              <w:snapToGrid w:val="0"/>
              <w:spacing w:line="320" w:lineRule="exact"/>
              <w:ind w:left="102" w:firstLine="420" w:firstLineChars="200"/>
              <w:textAlignment w:val="auto"/>
              <w:rPr>
                <w:rFonts w:hint="eastAsia" w:ascii="宋体" w:hAnsi="宋体" w:eastAsia="宋体" w:cs="宋体"/>
                <w:caps w:val="0"/>
                <w:color w:val="000000"/>
                <w:spacing w:val="0"/>
                <w:sz w:val="21"/>
                <w:szCs w:val="21"/>
                <w:highlight w:val="none"/>
              </w:rPr>
            </w:pPr>
            <w:r>
              <w:rPr>
                <w:rFonts w:hint="eastAsia" w:ascii="宋体" w:hAnsi="宋体" w:eastAsia="宋体" w:cs="宋体"/>
                <w:caps w:val="0"/>
                <w:color w:val="000000"/>
                <w:spacing w:val="0"/>
                <w:sz w:val="21"/>
                <w:szCs w:val="21"/>
                <w:highlight w:val="none"/>
              </w:rPr>
              <w:t>商务部分：</w:t>
            </w:r>
            <w:r>
              <w:rPr>
                <w:rFonts w:hint="eastAsia" w:ascii="宋体" w:hAnsi="宋体" w:eastAsia="宋体" w:cs="宋体"/>
                <w:caps w:val="0"/>
                <w:color w:val="000000"/>
                <w:spacing w:val="0"/>
                <w:sz w:val="21"/>
                <w:szCs w:val="21"/>
                <w:highlight w:val="none"/>
                <w:u w:val="single"/>
                <w:lang w:val="en-US" w:eastAsia="zh-CN"/>
              </w:rPr>
              <w:t>10</w:t>
            </w:r>
            <w:r>
              <w:rPr>
                <w:rFonts w:hint="eastAsia" w:ascii="宋体" w:hAnsi="宋体" w:eastAsia="宋体" w:cs="宋体"/>
                <w:caps w:val="0"/>
                <w:color w:val="000000"/>
                <w:spacing w:val="0"/>
                <w:sz w:val="21"/>
                <w:szCs w:val="21"/>
                <w:highlight w:val="none"/>
              </w:rPr>
              <w:t xml:space="preserve">分 </w:t>
            </w:r>
          </w:p>
          <w:p w14:paraId="7C35EE6A">
            <w:pPr>
              <w:keepNext w:val="0"/>
              <w:keepLines w:val="0"/>
              <w:pageBreakBefore w:val="0"/>
              <w:widowControl w:val="0"/>
              <w:kinsoku/>
              <w:wordWrap/>
              <w:overflowPunct/>
              <w:topLinePunct w:val="0"/>
              <w:bidi w:val="0"/>
              <w:adjustRightInd w:val="0"/>
              <w:snapToGrid w:val="0"/>
              <w:spacing w:line="320" w:lineRule="exact"/>
              <w:ind w:left="102" w:firstLine="420" w:firstLineChars="200"/>
              <w:textAlignment w:val="auto"/>
              <w:rPr>
                <w:rFonts w:hint="eastAsia" w:ascii="宋体" w:hAnsi="宋体" w:eastAsia="宋体" w:cs="宋体"/>
                <w:caps w:val="0"/>
                <w:color w:val="000000"/>
                <w:spacing w:val="0"/>
                <w:sz w:val="21"/>
                <w:szCs w:val="21"/>
                <w:highlight w:val="none"/>
              </w:rPr>
            </w:pPr>
            <w:r>
              <w:rPr>
                <w:rFonts w:hint="eastAsia" w:ascii="宋体" w:hAnsi="宋体" w:eastAsia="宋体" w:cs="宋体"/>
                <w:caps w:val="0"/>
                <w:color w:val="000000"/>
                <w:spacing w:val="0"/>
                <w:sz w:val="21"/>
                <w:szCs w:val="21"/>
                <w:highlight w:val="none"/>
              </w:rPr>
              <w:t>技术部分：</w:t>
            </w:r>
            <w:r>
              <w:rPr>
                <w:rFonts w:hint="eastAsia" w:ascii="宋体" w:hAnsi="宋体" w:eastAsia="宋体" w:cs="宋体"/>
                <w:caps w:val="0"/>
                <w:color w:val="000000"/>
                <w:spacing w:val="0"/>
                <w:sz w:val="21"/>
                <w:szCs w:val="21"/>
                <w:highlight w:val="none"/>
                <w:u w:val="single"/>
                <w:lang w:val="en-US" w:eastAsia="zh-CN"/>
              </w:rPr>
              <w:t>40</w:t>
            </w:r>
            <w:r>
              <w:rPr>
                <w:rFonts w:hint="eastAsia" w:ascii="宋体" w:hAnsi="宋体" w:eastAsia="宋体" w:cs="宋体"/>
                <w:caps w:val="0"/>
                <w:color w:val="000000"/>
                <w:spacing w:val="0"/>
                <w:sz w:val="21"/>
                <w:szCs w:val="21"/>
                <w:highlight w:val="none"/>
              </w:rPr>
              <w:t xml:space="preserve">分 </w:t>
            </w:r>
          </w:p>
          <w:p w14:paraId="1372D6E2">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caps w:val="0"/>
                <w:color w:val="000000"/>
                <w:spacing w:val="0"/>
                <w:sz w:val="21"/>
                <w:szCs w:val="21"/>
                <w:highlight w:val="none"/>
              </w:rPr>
            </w:pPr>
            <w:r>
              <w:rPr>
                <w:rFonts w:hint="eastAsia" w:ascii="宋体" w:hAnsi="宋体" w:eastAsia="宋体" w:cs="宋体"/>
                <w:caps w:val="0"/>
                <w:color w:val="000000"/>
                <w:spacing w:val="0"/>
                <w:sz w:val="21"/>
                <w:szCs w:val="21"/>
                <w:highlight w:val="none"/>
              </w:rPr>
              <w:t>第二个信封（报价文件）评分分值构成：</w:t>
            </w:r>
          </w:p>
          <w:p w14:paraId="7B93DE6C">
            <w:pPr>
              <w:keepNext w:val="0"/>
              <w:keepLines w:val="0"/>
              <w:pageBreakBefore w:val="0"/>
              <w:kinsoku/>
              <w:wordWrap/>
              <w:overflowPunct/>
              <w:topLinePunct w:val="0"/>
              <w:bidi w:val="0"/>
              <w:adjustRightInd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eastAsia="宋体" w:cs="宋体"/>
                <w:caps w:val="0"/>
                <w:color w:val="000000"/>
                <w:spacing w:val="0"/>
                <w:sz w:val="21"/>
                <w:szCs w:val="21"/>
                <w:highlight w:val="none"/>
              </w:rPr>
              <w:t>投标报价：</w:t>
            </w:r>
            <w:r>
              <w:rPr>
                <w:rFonts w:hint="eastAsia" w:ascii="宋体" w:hAnsi="宋体" w:eastAsia="宋体" w:cs="宋体"/>
                <w:caps w:val="0"/>
                <w:color w:val="000000"/>
                <w:spacing w:val="0"/>
                <w:sz w:val="21"/>
                <w:szCs w:val="21"/>
                <w:highlight w:val="none"/>
                <w:u w:val="single"/>
                <w:lang w:val="en-US" w:eastAsia="zh-CN"/>
              </w:rPr>
              <w:t>50</w:t>
            </w:r>
            <w:r>
              <w:rPr>
                <w:rFonts w:hint="eastAsia" w:ascii="宋体" w:hAnsi="宋体" w:eastAsia="宋体" w:cs="宋体"/>
                <w:caps w:val="0"/>
                <w:color w:val="000000"/>
                <w:spacing w:val="0"/>
                <w:sz w:val="21"/>
                <w:szCs w:val="21"/>
                <w:highlight w:val="none"/>
              </w:rPr>
              <w:t>分</w:t>
            </w:r>
          </w:p>
        </w:tc>
      </w:tr>
      <w:tr w14:paraId="4FB3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3C83F7C7">
            <w:pPr>
              <w:keepNext w:val="0"/>
              <w:keepLines w:val="0"/>
              <w:pageBreakBefore w:val="0"/>
              <w:widowControl w:val="0"/>
              <w:kinsoku/>
              <w:wordWrap/>
              <w:overflowPunct/>
              <w:topLinePunct w:val="0"/>
              <w:bidi w:val="0"/>
              <w:adjustRightInd w:val="0"/>
              <w:snapToGrid w:val="0"/>
              <w:spacing w:line="320" w:lineRule="exact"/>
              <w:ind w:left="32" w:leftChars="16" w:right="87" w:rightChars="0"/>
              <w:jc w:val="center"/>
              <w:textAlignment w:val="auto"/>
              <w:rPr>
                <w:rFonts w:hint="eastAsia" w:ascii="宋体" w:hAnsi="宋体" w:cs="宋体"/>
                <w:color w:val="auto"/>
                <w:sz w:val="21"/>
                <w:szCs w:val="21"/>
                <w:highlight w:val="none"/>
              </w:rPr>
            </w:pPr>
            <w:r>
              <w:rPr>
                <w:rFonts w:ascii="宋体" w:hAnsi="宋体" w:cs="微软雅黑"/>
                <w:caps w:val="0"/>
                <w:spacing w:val="0"/>
                <w:sz w:val="21"/>
                <w:szCs w:val="21"/>
                <w:highlight w:val="none"/>
              </w:rPr>
              <w:t>2.2.2</w:t>
            </w:r>
          </w:p>
        </w:tc>
        <w:tc>
          <w:tcPr>
            <w:tcW w:w="1317" w:type="dxa"/>
            <w:vAlign w:val="center"/>
          </w:tcPr>
          <w:p w14:paraId="288A71E0">
            <w:pPr>
              <w:keepNext w:val="0"/>
              <w:keepLines w:val="0"/>
              <w:pageBreakBefore w:val="0"/>
              <w:widowControl w:val="0"/>
              <w:kinsoku/>
              <w:wordWrap/>
              <w:overflowPunct/>
              <w:topLinePunct w:val="0"/>
              <w:bidi w:val="0"/>
              <w:adjustRightInd w:val="0"/>
              <w:snapToGrid w:val="0"/>
              <w:spacing w:line="320" w:lineRule="exact"/>
              <w:ind w:right="-20"/>
              <w:jc w:val="center"/>
              <w:textAlignment w:val="auto"/>
              <w:rPr>
                <w:rFonts w:hint="eastAsia" w:ascii="宋体" w:hAnsi="宋体" w:cs="微软雅黑"/>
                <w:caps w:val="0"/>
                <w:spacing w:val="0"/>
                <w:sz w:val="21"/>
                <w:szCs w:val="21"/>
                <w:highlight w:val="none"/>
              </w:rPr>
            </w:pPr>
            <w:r>
              <w:rPr>
                <w:rFonts w:hint="eastAsia" w:ascii="宋体" w:hAnsi="宋体" w:cs="微软雅黑"/>
                <w:caps w:val="0"/>
                <w:spacing w:val="0"/>
                <w:sz w:val="21"/>
                <w:szCs w:val="21"/>
                <w:highlight w:val="none"/>
              </w:rPr>
              <w:t>评标</w:t>
            </w:r>
          </w:p>
          <w:p w14:paraId="7440B37D">
            <w:pPr>
              <w:keepNext w:val="0"/>
              <w:keepLines w:val="0"/>
              <w:pageBreakBefore w:val="0"/>
              <w:widowControl w:val="0"/>
              <w:kinsoku/>
              <w:wordWrap/>
              <w:overflowPunct/>
              <w:topLinePunct w:val="0"/>
              <w:bidi w:val="0"/>
              <w:adjustRightInd w:val="0"/>
              <w:snapToGrid w:val="0"/>
              <w:spacing w:line="320" w:lineRule="exact"/>
              <w:ind w:right="-20"/>
              <w:jc w:val="center"/>
              <w:textAlignment w:val="auto"/>
              <w:rPr>
                <w:rFonts w:hint="eastAsia" w:ascii="宋体" w:hAnsi="宋体" w:cs="微软雅黑"/>
                <w:caps w:val="0"/>
                <w:spacing w:val="0"/>
                <w:sz w:val="21"/>
                <w:szCs w:val="21"/>
                <w:highlight w:val="none"/>
              </w:rPr>
            </w:pPr>
            <w:r>
              <w:rPr>
                <w:rFonts w:hint="eastAsia" w:ascii="宋体" w:hAnsi="宋体" w:cs="微软雅黑"/>
                <w:caps w:val="0"/>
                <w:spacing w:val="0"/>
                <w:sz w:val="21"/>
                <w:szCs w:val="21"/>
                <w:highlight w:val="none"/>
              </w:rPr>
              <w:t>基准价</w:t>
            </w:r>
          </w:p>
          <w:p w14:paraId="6F2F1E89">
            <w:pPr>
              <w:keepNext w:val="0"/>
              <w:keepLines w:val="0"/>
              <w:pageBreakBefore w:val="0"/>
              <w:widowControl w:val="0"/>
              <w:kinsoku/>
              <w:wordWrap/>
              <w:overflowPunct/>
              <w:topLinePunct w:val="0"/>
              <w:bidi w:val="0"/>
              <w:adjustRightInd w:val="0"/>
              <w:snapToGrid w:val="0"/>
              <w:spacing w:line="320" w:lineRule="exact"/>
              <w:ind w:right="-20" w:rightChars="0"/>
              <w:jc w:val="center"/>
              <w:textAlignment w:val="auto"/>
              <w:rPr>
                <w:rFonts w:hint="eastAsia" w:ascii="宋体" w:hAnsi="宋体" w:cs="宋体"/>
                <w:color w:val="auto"/>
                <w:sz w:val="21"/>
                <w:szCs w:val="21"/>
                <w:highlight w:val="none"/>
              </w:rPr>
            </w:pPr>
            <w:r>
              <w:rPr>
                <w:rFonts w:hint="eastAsia" w:ascii="宋体" w:hAnsi="宋体" w:cs="微软雅黑"/>
                <w:caps w:val="0"/>
                <w:spacing w:val="0"/>
                <w:sz w:val="21"/>
                <w:szCs w:val="21"/>
                <w:highlight w:val="none"/>
              </w:rPr>
              <w:t>计算方法</w:t>
            </w:r>
          </w:p>
        </w:tc>
        <w:tc>
          <w:tcPr>
            <w:tcW w:w="7197" w:type="dxa"/>
            <w:vAlign w:val="center"/>
          </w:tcPr>
          <w:p w14:paraId="72B3ED5B">
            <w:pPr>
              <w:keepNext w:val="0"/>
              <w:keepLines w:val="0"/>
              <w:pageBreakBefore w:val="0"/>
              <w:widowControl w:val="0"/>
              <w:kinsoku/>
              <w:wordWrap/>
              <w:overflowPunct/>
              <w:topLinePunct w:val="0"/>
              <w:bidi w:val="0"/>
              <w:adjustRightInd/>
              <w:snapToGrid w:val="0"/>
              <w:spacing w:after="0" w:line="320" w:lineRule="exact"/>
              <w:ind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（1）评标价的确定：评标价＝投标函文字报价</w:t>
            </w:r>
          </w:p>
          <w:p w14:paraId="66F16F38">
            <w:pPr>
              <w:keepNext w:val="0"/>
              <w:keepLines w:val="0"/>
              <w:pageBreakBefore w:val="0"/>
              <w:widowControl w:val="0"/>
              <w:kinsoku/>
              <w:wordWrap/>
              <w:overflowPunct/>
              <w:topLinePunct w:val="0"/>
              <w:bidi w:val="0"/>
              <w:adjustRightInd/>
              <w:snapToGrid w:val="0"/>
              <w:spacing w:after="0" w:line="320" w:lineRule="exact"/>
              <w:ind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（2）评标价平均值的计算：</w:t>
            </w:r>
          </w:p>
          <w:p w14:paraId="1BEBF355">
            <w:pPr>
              <w:keepNext w:val="0"/>
              <w:keepLines w:val="0"/>
              <w:pageBreakBefore w:val="0"/>
              <w:widowControl w:val="0"/>
              <w:kinsoku/>
              <w:wordWrap/>
              <w:overflowPunct/>
              <w:topLinePunct w:val="0"/>
              <w:bidi w:val="0"/>
              <w:adjustRightInd/>
              <w:snapToGrid w:val="0"/>
              <w:spacing w:after="0" w:line="320" w:lineRule="exact"/>
              <w:ind w:firstLine="420" w:firstLineChars="200"/>
              <w:jc w:val="both"/>
              <w:textAlignment w:val="auto"/>
              <w:rPr>
                <w:rFonts w:hint="eastAsia" w:ascii="宋体" w:hAnsi="宋体" w:eastAsia="宋体" w:cs="宋体"/>
                <w:kern w:val="2"/>
                <w:sz w:val="21"/>
                <w:highlight w:val="none"/>
              </w:rPr>
            </w:pPr>
            <w:r>
              <w:rPr>
                <w:rFonts w:hint="eastAsia" w:ascii="宋体" w:hAnsi="宋体" w:eastAsia="宋体" w:cs="Times New Roman"/>
                <w:kern w:val="2"/>
                <w:sz w:val="21"/>
                <w:highlight w:val="none"/>
              </w:rPr>
              <w:t>除按第二章“投标人须知”第5.2.</w:t>
            </w:r>
            <w:r>
              <w:rPr>
                <w:rFonts w:hint="eastAsia" w:ascii="宋体" w:hAnsi="宋体" w:eastAsia="宋体" w:cs="Times New Roman"/>
                <w:kern w:val="2"/>
                <w:sz w:val="21"/>
                <w:highlight w:val="none"/>
                <w:lang w:val="en-US" w:eastAsia="zh-CN"/>
              </w:rPr>
              <w:t>4</w:t>
            </w:r>
            <w:r>
              <w:rPr>
                <w:rFonts w:hint="eastAsia" w:ascii="宋体" w:hAnsi="宋体" w:eastAsia="宋体" w:cs="Times New Roman"/>
                <w:kern w:val="2"/>
                <w:sz w:val="21"/>
                <w:highlight w:val="none"/>
              </w:rPr>
              <w:t>项规定开标现场被宣布为不进入评标基准价计算的投标报价之外，所有投标人的</w:t>
            </w:r>
            <w:r>
              <w:rPr>
                <w:rFonts w:hint="eastAsia" w:ascii="宋体" w:hAnsi="宋体" w:eastAsia="宋体" w:cs="宋体"/>
                <w:kern w:val="2"/>
                <w:sz w:val="21"/>
                <w:highlight w:val="none"/>
              </w:rPr>
              <w:t>评标价去掉一个最高值和一个最低值后作算术平均（如果参与评标价平均值计算的有效投标人少于5家时，则计算评标价平均值时不去掉最高值和最低值），将该平均值作为评标价平均值。</w:t>
            </w:r>
          </w:p>
          <w:p w14:paraId="554C7D1E">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14:paraId="7D0DB67D">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14:paraId="10AA9DBE">
            <w:pPr>
              <w:keepNext w:val="0"/>
              <w:keepLines w:val="0"/>
              <w:pageBreakBefore w:val="0"/>
              <w:kinsoku/>
              <w:wordWrap/>
              <w:overflowPunct/>
              <w:topLinePunct w:val="0"/>
              <w:bidi w:val="0"/>
              <w:adjustRightInd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eastAsia="宋体" w:cs="宋体"/>
                <w:kern w:val="2"/>
                <w:sz w:val="21"/>
                <w:highlight w:val="none"/>
              </w:rPr>
              <w:t>。</w:t>
            </w:r>
          </w:p>
        </w:tc>
      </w:tr>
      <w:tr w14:paraId="1908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1817CB0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微软雅黑"/>
                <w:caps w:val="0"/>
                <w:color w:val="000000"/>
                <w:spacing w:val="0"/>
                <w:sz w:val="21"/>
                <w:szCs w:val="21"/>
                <w:highlight w:val="none"/>
              </w:rPr>
              <w:t>2.2.3</w:t>
            </w:r>
          </w:p>
        </w:tc>
        <w:tc>
          <w:tcPr>
            <w:tcW w:w="1317" w:type="dxa"/>
            <w:vAlign w:val="center"/>
          </w:tcPr>
          <w:p w14:paraId="2D7803CE">
            <w:pPr>
              <w:keepNext w:val="0"/>
              <w:keepLines w:val="0"/>
              <w:pageBreakBefore w:val="0"/>
              <w:widowControl w:val="0"/>
              <w:kinsoku/>
              <w:wordWrap/>
              <w:overflowPunct/>
              <w:topLinePunct w:val="0"/>
              <w:bidi w:val="0"/>
              <w:adjustRightInd w:val="0"/>
              <w:snapToGrid w:val="0"/>
              <w:spacing w:line="320" w:lineRule="exact"/>
              <w:ind w:right="-20" w:rightChars="0"/>
              <w:jc w:val="center"/>
              <w:textAlignment w:val="auto"/>
              <w:rPr>
                <w:rFonts w:hint="eastAsia" w:ascii="宋体" w:hAnsi="宋体" w:cs="宋体"/>
                <w:color w:val="auto"/>
                <w:sz w:val="21"/>
                <w:szCs w:val="21"/>
                <w:highlight w:val="none"/>
              </w:rPr>
            </w:pPr>
            <w:r>
              <w:rPr>
                <w:rFonts w:hint="eastAsia" w:ascii="宋体" w:hAnsi="宋体" w:cs="微软雅黑"/>
                <w:caps w:val="0"/>
                <w:color w:val="000000"/>
                <w:spacing w:val="0"/>
                <w:sz w:val="21"/>
                <w:szCs w:val="21"/>
                <w:highlight w:val="none"/>
              </w:rPr>
              <w:t>投标报价的偏差率计算公式</w:t>
            </w:r>
          </w:p>
        </w:tc>
        <w:tc>
          <w:tcPr>
            <w:tcW w:w="7197" w:type="dxa"/>
            <w:vAlign w:val="center"/>
          </w:tcPr>
          <w:p w14:paraId="0B1867ED">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cs="宋体"/>
                <w:color w:val="auto"/>
                <w:sz w:val="21"/>
                <w:szCs w:val="21"/>
                <w:highlight w:val="none"/>
              </w:rPr>
            </w:pPr>
            <w:r>
              <w:rPr>
                <w:rFonts w:hint="eastAsia" w:ascii="宋体" w:hAnsi="宋体" w:cs="微软雅黑"/>
                <w:caps w:val="0"/>
                <w:color w:val="000000"/>
                <w:spacing w:val="0"/>
                <w:sz w:val="21"/>
                <w:szCs w:val="21"/>
                <w:highlight w:val="none"/>
              </w:rPr>
              <w:t>偏差率=100%×（投标人评标价-评标基准价）/评标基准价</w:t>
            </w:r>
          </w:p>
        </w:tc>
      </w:tr>
      <w:tr w14:paraId="29D8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455EB426">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3.6.1</w:t>
            </w:r>
          </w:p>
        </w:tc>
        <w:tc>
          <w:tcPr>
            <w:tcW w:w="1317" w:type="dxa"/>
            <w:vAlign w:val="center"/>
          </w:tcPr>
          <w:p w14:paraId="0BC7B019">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7197" w:type="dxa"/>
            <w:vAlign w:val="center"/>
          </w:tcPr>
          <w:p w14:paraId="69520B9B">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修改为：</w:t>
            </w:r>
          </w:p>
          <w:p w14:paraId="227313F9">
            <w:pPr>
              <w:keepNext w:val="0"/>
              <w:keepLines w:val="0"/>
              <w:pageBreakBefore w:val="0"/>
              <w:kinsoku/>
              <w:wordWrap/>
              <w:overflowPunct/>
              <w:topLinePunct w:val="0"/>
              <w:bidi w:val="0"/>
              <w:snapToGrid w:val="0"/>
              <w:spacing w:line="32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在评标过程中，评标委员会应对以下信息进行查询：</w:t>
            </w:r>
          </w:p>
          <w:p w14:paraId="4BC47F7C">
            <w:pPr>
              <w:keepNext w:val="0"/>
              <w:keepLines w:val="0"/>
              <w:pageBreakBefore w:val="0"/>
              <w:kinsoku/>
              <w:wordWrap/>
              <w:overflowPunct/>
              <w:topLinePunct w:val="0"/>
              <w:bidi w:val="0"/>
              <w:snapToGrid w:val="0"/>
              <w:spacing w:line="320" w:lineRule="exact"/>
              <w:ind w:firstLine="327" w:firstLineChars="15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14:paraId="1D4675B5">
            <w:pPr>
              <w:keepNext w:val="0"/>
              <w:keepLines w:val="0"/>
              <w:pageBreakBefore w:val="0"/>
              <w:kinsoku/>
              <w:wordWrap/>
              <w:overflowPunct/>
              <w:topLinePunct w:val="0"/>
              <w:bidi w:val="0"/>
              <w:snapToGrid w:val="0"/>
              <w:spacing w:line="320" w:lineRule="exact"/>
              <w:ind w:firstLine="327" w:firstLineChars="15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如投标人未提供相关网页截图或所附截图与复核结果不一致导致不能满足资格评审要求的，评标委员会应否决其投标。</w:t>
            </w:r>
          </w:p>
          <w:p w14:paraId="7D995A9C">
            <w:pPr>
              <w:keepNext w:val="0"/>
              <w:keepLines w:val="0"/>
              <w:pageBreakBefore w:val="0"/>
              <w:kinsoku/>
              <w:wordWrap/>
              <w:overflowPunct/>
              <w:topLinePunct w:val="0"/>
              <w:autoSpaceDE w:val="0"/>
              <w:autoSpaceDN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14:paraId="0F3F91FA">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投标人应保证本款所附的全部截图的真实性。</w:t>
            </w:r>
            <w:r>
              <w:rPr>
                <w:rFonts w:hint="eastAsia" w:ascii="宋体" w:hAnsi="宋体" w:cs="宋体"/>
                <w:color w:val="auto"/>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14:paraId="71BC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9657" w:type="dxa"/>
            <w:gridSpan w:val="3"/>
            <w:vAlign w:val="center"/>
          </w:tcPr>
          <w:p w14:paraId="75C11F12">
            <w:pPr>
              <w:keepNext w:val="0"/>
              <w:keepLines w:val="0"/>
              <w:pageBreakBefore w:val="0"/>
              <w:widowControl w:val="0"/>
              <w:kinsoku/>
              <w:wordWrap/>
              <w:overflowPunct/>
              <w:topLinePunct w:val="0"/>
              <w:bidi w:val="0"/>
              <w:snapToGrid w:val="0"/>
              <w:spacing w:line="320" w:lineRule="exact"/>
              <w:textAlignment w:val="auto"/>
              <w:rPr>
                <w:rFonts w:hint="eastAsia" w:ascii="宋体" w:hAnsi="宋体" w:cs="宋体"/>
                <w:color w:val="auto"/>
                <w:sz w:val="21"/>
                <w:szCs w:val="21"/>
                <w:highlight w:val="none"/>
                <w:lang w:bidi="ar"/>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14:paraId="0165A36D">
      <w:pP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br w:type="page"/>
      </w:r>
      <w:r>
        <w:rPr>
          <w:rFonts w:hint="eastAsia" w:ascii="宋体" w:hAnsi="宋体" w:cs="宋体"/>
          <w:color w:val="auto"/>
          <w:sz w:val="24"/>
          <w:szCs w:val="24"/>
          <w:highlight w:val="none"/>
          <w:lang w:bidi="ar"/>
        </w:rPr>
        <w:t>具体</w:t>
      </w:r>
      <w:r>
        <w:rPr>
          <w:rFonts w:hint="eastAsia" w:ascii="宋体" w:hAnsi="宋体" w:cs="宋体"/>
          <w:color w:val="auto"/>
          <w:sz w:val="21"/>
          <w:szCs w:val="21"/>
          <w:highlight w:val="none"/>
          <w:lang w:bidi="ar"/>
        </w:rPr>
        <w:t xml:space="preserve">评分标准如下： </w:t>
      </w:r>
    </w:p>
    <w:tbl>
      <w:tblPr>
        <w:tblStyle w:val="9"/>
        <w:tblW w:w="9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709"/>
        <w:gridCol w:w="1038"/>
        <w:gridCol w:w="1233"/>
        <w:gridCol w:w="989"/>
        <w:gridCol w:w="4925"/>
      </w:tblGrid>
      <w:tr w14:paraId="3F1FA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 w:hRule="atLeast"/>
          <w:jc w:val="center"/>
        </w:trPr>
        <w:tc>
          <w:tcPr>
            <w:tcW w:w="4785" w:type="dxa"/>
            <w:gridSpan w:val="5"/>
            <w:shd w:val="clear" w:color="000000" w:fill="FFFFFF"/>
            <w:vAlign w:val="center"/>
          </w:tcPr>
          <w:p w14:paraId="17555A01">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评分因素与权重分值</w:t>
            </w:r>
          </w:p>
        </w:tc>
        <w:tc>
          <w:tcPr>
            <w:tcW w:w="4925" w:type="dxa"/>
            <w:vMerge w:val="restart"/>
            <w:shd w:val="clear" w:color="000000" w:fill="FFFFFF"/>
            <w:vAlign w:val="center"/>
          </w:tcPr>
          <w:p w14:paraId="10EB61C1">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评分标准</w:t>
            </w:r>
          </w:p>
        </w:tc>
      </w:tr>
      <w:tr w14:paraId="4AAF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16" w:type="dxa"/>
            <w:shd w:val="clear" w:color="000000" w:fill="FFFFFF"/>
            <w:vAlign w:val="center"/>
          </w:tcPr>
          <w:p w14:paraId="35699BB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条款号</w:t>
            </w:r>
          </w:p>
        </w:tc>
        <w:tc>
          <w:tcPr>
            <w:tcW w:w="709" w:type="dxa"/>
            <w:shd w:val="clear" w:color="000000" w:fill="FFFFFF"/>
            <w:vAlign w:val="center"/>
          </w:tcPr>
          <w:p w14:paraId="19F4E8E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评分因素</w:t>
            </w:r>
          </w:p>
        </w:tc>
        <w:tc>
          <w:tcPr>
            <w:tcW w:w="1038" w:type="dxa"/>
            <w:shd w:val="clear" w:color="000000" w:fill="FFFFFF"/>
            <w:vAlign w:val="center"/>
          </w:tcPr>
          <w:p w14:paraId="01A9E585">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评分因素权重分值</w:t>
            </w:r>
          </w:p>
        </w:tc>
        <w:tc>
          <w:tcPr>
            <w:tcW w:w="1233" w:type="dxa"/>
            <w:shd w:val="clear" w:color="000000" w:fill="FFFFFF"/>
            <w:vAlign w:val="center"/>
          </w:tcPr>
          <w:p w14:paraId="0B8F9167">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各评分因素细分项</w:t>
            </w:r>
          </w:p>
        </w:tc>
        <w:tc>
          <w:tcPr>
            <w:tcW w:w="989" w:type="dxa"/>
            <w:shd w:val="clear" w:color="000000" w:fill="FFFFFF"/>
            <w:vAlign w:val="center"/>
          </w:tcPr>
          <w:p w14:paraId="14716C1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分值</w:t>
            </w:r>
          </w:p>
        </w:tc>
        <w:tc>
          <w:tcPr>
            <w:tcW w:w="4925" w:type="dxa"/>
            <w:vMerge w:val="continue"/>
            <w:shd w:val="clear" w:color="000000" w:fill="FFFFFF"/>
          </w:tcPr>
          <w:p w14:paraId="2B6994C2">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highlight w:val="none"/>
                <w:lang w:val="zh-CN"/>
              </w:rPr>
            </w:pPr>
          </w:p>
        </w:tc>
      </w:tr>
      <w:tr w14:paraId="264B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816" w:type="dxa"/>
            <w:vMerge w:val="restart"/>
            <w:shd w:val="clear" w:color="000000" w:fill="FFFFFF"/>
            <w:vAlign w:val="center"/>
          </w:tcPr>
          <w:p w14:paraId="18106EE8">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p>
          <w:p w14:paraId="5313E3DD">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vMerge w:val="restart"/>
            <w:shd w:val="clear" w:color="000000" w:fill="FFFFFF"/>
            <w:vAlign w:val="center"/>
          </w:tcPr>
          <w:p w14:paraId="2051667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tc>
        <w:tc>
          <w:tcPr>
            <w:tcW w:w="1038" w:type="dxa"/>
            <w:vMerge w:val="restart"/>
            <w:shd w:val="clear" w:color="000000" w:fill="FFFFFF"/>
            <w:vAlign w:val="center"/>
          </w:tcPr>
          <w:p w14:paraId="3051F1D0">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p>
        </w:tc>
        <w:tc>
          <w:tcPr>
            <w:tcW w:w="1233" w:type="dxa"/>
            <w:vMerge w:val="restart"/>
            <w:shd w:val="clear" w:color="000000" w:fill="FFFFFF"/>
            <w:vAlign w:val="center"/>
          </w:tcPr>
          <w:p w14:paraId="145EAA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pacing w:val="-2"/>
                <w:sz w:val="21"/>
                <w:szCs w:val="21"/>
                <w:highlight w:val="none"/>
              </w:rPr>
              <w:t>设</w:t>
            </w:r>
            <w:r>
              <w:rPr>
                <w:rFonts w:hint="eastAsia" w:ascii="宋体" w:hAnsi="宋体" w:eastAsia="宋体" w:cs="宋体"/>
                <w:color w:val="auto"/>
                <w:sz w:val="21"/>
                <w:szCs w:val="21"/>
                <w:highlight w:val="none"/>
              </w:rPr>
              <w:t>备</w:t>
            </w:r>
            <w:r>
              <w:rPr>
                <w:rFonts w:hint="eastAsia" w:ascii="宋体" w:hAnsi="宋体" w:eastAsia="宋体" w:cs="宋体"/>
                <w:color w:val="auto"/>
                <w:spacing w:val="-2"/>
                <w:sz w:val="21"/>
                <w:szCs w:val="21"/>
                <w:highlight w:val="none"/>
              </w:rPr>
              <w:t>的</w:t>
            </w:r>
            <w:r>
              <w:rPr>
                <w:rFonts w:hint="eastAsia" w:ascii="宋体" w:hAnsi="宋体" w:eastAsia="宋体" w:cs="宋体"/>
                <w:color w:val="auto"/>
                <w:sz w:val="21"/>
                <w:szCs w:val="21"/>
                <w:highlight w:val="none"/>
              </w:rPr>
              <w:t>业绩</w:t>
            </w:r>
          </w:p>
        </w:tc>
        <w:tc>
          <w:tcPr>
            <w:tcW w:w="989" w:type="dxa"/>
            <w:vMerge w:val="restart"/>
            <w:shd w:val="clear" w:color="000000" w:fill="FFFFFF"/>
            <w:vAlign w:val="center"/>
          </w:tcPr>
          <w:p w14:paraId="02B6216F">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4925" w:type="dxa"/>
            <w:tcBorders>
              <w:bottom w:val="single" w:color="auto" w:sz="4" w:space="0"/>
            </w:tcBorders>
            <w:shd w:val="clear" w:color="000000" w:fill="FFFFFF"/>
          </w:tcPr>
          <w:p w14:paraId="5FAD05BF">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满足资格审查条件(业绩最低要求)得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A85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16" w:type="dxa"/>
            <w:vMerge w:val="continue"/>
            <w:tcBorders>
              <w:bottom w:val="single" w:color="000000" w:sz="4" w:space="0"/>
            </w:tcBorders>
            <w:shd w:val="clear" w:color="000000" w:fill="FFFFFF"/>
            <w:vAlign w:val="center"/>
          </w:tcPr>
          <w:p w14:paraId="6D87793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tcBorders>
              <w:bottom w:val="single" w:color="000000" w:sz="4" w:space="0"/>
            </w:tcBorders>
            <w:shd w:val="clear" w:color="000000" w:fill="FFFFFF"/>
            <w:vAlign w:val="center"/>
          </w:tcPr>
          <w:p w14:paraId="6FBB3E4C">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038" w:type="dxa"/>
            <w:vMerge w:val="continue"/>
            <w:tcBorders>
              <w:bottom w:val="single" w:color="000000" w:sz="4" w:space="0"/>
            </w:tcBorders>
            <w:shd w:val="clear" w:color="000000" w:fill="FFFFFF"/>
            <w:vAlign w:val="center"/>
          </w:tcPr>
          <w:p w14:paraId="35BD837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233" w:type="dxa"/>
            <w:vMerge w:val="continue"/>
            <w:tcBorders>
              <w:bottom w:val="single" w:color="000000" w:sz="4" w:space="0"/>
            </w:tcBorders>
            <w:shd w:val="clear" w:color="000000" w:fill="FFFFFF"/>
            <w:vAlign w:val="center"/>
          </w:tcPr>
          <w:p w14:paraId="086AECD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p>
        </w:tc>
        <w:tc>
          <w:tcPr>
            <w:tcW w:w="989" w:type="dxa"/>
            <w:vMerge w:val="continue"/>
            <w:tcBorders>
              <w:bottom w:val="single" w:color="000000" w:sz="4" w:space="0"/>
            </w:tcBorders>
            <w:shd w:val="clear" w:color="000000" w:fill="FFFFFF"/>
            <w:vAlign w:val="center"/>
          </w:tcPr>
          <w:p w14:paraId="0019549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4925" w:type="dxa"/>
            <w:tcBorders>
              <w:top w:val="single" w:color="auto" w:sz="4" w:space="0"/>
              <w:bottom w:val="single" w:color="000000" w:sz="4" w:space="0"/>
            </w:tcBorders>
            <w:shd w:val="clear" w:color="000000" w:fill="FFFFFF"/>
          </w:tcPr>
          <w:p w14:paraId="24C51E0E">
            <w:pPr>
              <w:keepNext w:val="0"/>
              <w:keepLines w:val="0"/>
              <w:pageBreakBefore w:val="0"/>
              <w:numPr>
                <w:ilvl w:val="0"/>
                <w:numId w:val="0"/>
              </w:numPr>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000000"/>
                <w:sz w:val="21"/>
                <w:szCs w:val="21"/>
                <w:highlight w:val="none"/>
              </w:rPr>
              <w:t>近3年内(2021年</w:t>
            </w:r>
            <w:r>
              <w:rPr>
                <w:rFonts w:hint="eastAsia" w:ascii="宋体" w:hAnsi="宋体" w:cs="宋体"/>
                <w:color w:val="000000"/>
                <w:sz w:val="21"/>
                <w:szCs w:val="21"/>
                <w:highlight w:val="none"/>
                <w:lang w:eastAsia="zh-CN"/>
              </w:rPr>
              <w:t>11月</w:t>
            </w:r>
            <w:r>
              <w:rPr>
                <w:rFonts w:hint="eastAsia" w:ascii="宋体" w:hAnsi="宋体" w:cs="宋体"/>
                <w:color w:val="000000"/>
                <w:sz w:val="21"/>
                <w:szCs w:val="21"/>
                <w:highlight w:val="none"/>
              </w:rPr>
              <w:t>1日至今，以合同签订时间为准)，每</w:t>
            </w:r>
            <w:r>
              <w:rPr>
                <w:rFonts w:hint="eastAsia" w:ascii="宋体" w:hAnsi="宋体" w:cs="宋体"/>
                <w:color w:val="000000"/>
                <w:sz w:val="21"/>
                <w:szCs w:val="21"/>
                <w:highlight w:val="none"/>
                <w:lang w:val="en-US" w:eastAsia="zh-CN"/>
              </w:rPr>
              <w:t>增加1台移动充电设备</w:t>
            </w:r>
            <w:r>
              <w:rPr>
                <w:rFonts w:hint="eastAsia" w:ascii="宋体" w:hAnsi="宋体" w:cs="宋体"/>
                <w:color w:val="000000"/>
                <w:sz w:val="21"/>
                <w:szCs w:val="21"/>
                <w:highlight w:val="none"/>
              </w:rPr>
              <w:t>供货业绩加</w:t>
            </w:r>
            <w:r>
              <w:rPr>
                <w:rFonts w:hint="eastAsia" w:ascii="宋体" w:hAnsi="宋体" w:cs="宋体"/>
                <w:color w:val="000000"/>
                <w:sz w:val="21"/>
                <w:szCs w:val="21"/>
                <w:highlight w:val="none"/>
                <w:lang w:val="en-US" w:eastAsia="zh-CN"/>
              </w:rPr>
              <w:t>0.4</w:t>
            </w:r>
            <w:r>
              <w:rPr>
                <w:rFonts w:hint="eastAsia" w:ascii="宋体" w:hAnsi="宋体" w:cs="宋体"/>
                <w:color w:val="000000"/>
                <w:sz w:val="21"/>
                <w:szCs w:val="21"/>
                <w:highlight w:val="none"/>
              </w:rPr>
              <w:t>分，最多加</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分</w:t>
            </w:r>
            <w:r>
              <w:rPr>
                <w:rFonts w:hint="eastAsia" w:ascii="宋体" w:hAnsi="宋体" w:eastAsia="宋体" w:cs="宋体"/>
                <w:color w:val="000000"/>
                <w:sz w:val="21"/>
                <w:szCs w:val="21"/>
                <w:highlight w:val="none"/>
              </w:rPr>
              <w:t>。</w:t>
            </w:r>
          </w:p>
        </w:tc>
      </w:tr>
      <w:tr w14:paraId="0E26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6" w:hRule="atLeast"/>
          <w:jc w:val="center"/>
        </w:trPr>
        <w:tc>
          <w:tcPr>
            <w:tcW w:w="816" w:type="dxa"/>
            <w:vMerge w:val="restart"/>
            <w:shd w:val="clear" w:color="000000" w:fill="FFFFFF"/>
            <w:vAlign w:val="center"/>
          </w:tcPr>
          <w:p w14:paraId="792AE3F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p>
          <w:p w14:paraId="5EE737D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09" w:type="dxa"/>
            <w:vMerge w:val="restart"/>
            <w:shd w:val="clear" w:color="000000" w:fill="FFFFFF"/>
            <w:vAlign w:val="center"/>
          </w:tcPr>
          <w:p w14:paraId="264CC265">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tc>
        <w:tc>
          <w:tcPr>
            <w:tcW w:w="1038" w:type="dxa"/>
            <w:vMerge w:val="restart"/>
            <w:shd w:val="clear" w:color="000000" w:fill="FFFFFF"/>
            <w:vAlign w:val="center"/>
          </w:tcPr>
          <w:p w14:paraId="5141A57E">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zh-CN"/>
              </w:rPr>
              <w:t>分</w:t>
            </w:r>
          </w:p>
        </w:tc>
        <w:tc>
          <w:tcPr>
            <w:tcW w:w="1233" w:type="dxa"/>
            <w:shd w:val="clear" w:color="000000" w:fill="FFFFFF"/>
            <w:vAlign w:val="center"/>
          </w:tcPr>
          <w:p w14:paraId="1B6D2DD2">
            <w:pPr>
              <w:pStyle w:val="14"/>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投标设备整体评价</w:t>
            </w:r>
          </w:p>
        </w:tc>
        <w:tc>
          <w:tcPr>
            <w:tcW w:w="989" w:type="dxa"/>
            <w:shd w:val="clear" w:color="000000" w:fill="FFFFFF"/>
            <w:vAlign w:val="center"/>
          </w:tcPr>
          <w:p w14:paraId="1391C366">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925" w:type="dxa"/>
            <w:shd w:val="clear" w:color="000000" w:fill="FFFFFF"/>
            <w:vAlign w:val="center"/>
          </w:tcPr>
          <w:p w14:paraId="6512203E">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1.设备整体性能优越、功能齐全、完善，自动化水平高，完全满足招标文件要求，得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DF628D4">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2.设备整体性能较高、功能较齐全、较完善，自动化水平较高，满足招标文件要求，得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3EBE76EE">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3.设备整体性能一般，功能一般，自动化水平一般，基本满足招标文件要求，得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6F5F9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0" w:hRule="atLeast"/>
          <w:jc w:val="center"/>
        </w:trPr>
        <w:tc>
          <w:tcPr>
            <w:tcW w:w="816" w:type="dxa"/>
            <w:vMerge w:val="continue"/>
            <w:shd w:val="clear" w:color="000000" w:fill="FFFFFF"/>
            <w:vAlign w:val="center"/>
          </w:tcPr>
          <w:p w14:paraId="00885539">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shd w:val="clear" w:color="000000" w:fill="FFFFFF"/>
            <w:vAlign w:val="center"/>
          </w:tcPr>
          <w:p w14:paraId="186E965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p>
        </w:tc>
        <w:tc>
          <w:tcPr>
            <w:tcW w:w="1038" w:type="dxa"/>
            <w:vMerge w:val="continue"/>
            <w:shd w:val="clear" w:color="000000" w:fill="FFFFFF"/>
            <w:vAlign w:val="center"/>
          </w:tcPr>
          <w:p w14:paraId="6EE43EC5">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233" w:type="dxa"/>
            <w:shd w:val="clear" w:color="000000" w:fill="FFFFFF"/>
            <w:vAlign w:val="center"/>
          </w:tcPr>
          <w:p w14:paraId="5BD2CD9A">
            <w:pPr>
              <w:pStyle w:val="14"/>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投标设备技术性能指标响应程度</w:t>
            </w:r>
          </w:p>
        </w:tc>
        <w:tc>
          <w:tcPr>
            <w:tcW w:w="989" w:type="dxa"/>
            <w:shd w:val="clear" w:color="000000" w:fill="FFFFFF"/>
            <w:vAlign w:val="center"/>
          </w:tcPr>
          <w:p w14:paraId="290AE3B9">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925" w:type="dxa"/>
            <w:shd w:val="clear" w:color="000000" w:fill="FFFFFF"/>
            <w:vAlign w:val="top"/>
          </w:tcPr>
          <w:p w14:paraId="4E2D0403">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1.投标产品选型合理，主要机械组成部件的技术性能参数及功能参数指标高，实用性强、产品设计科学合理、质量可靠，得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DC56FD8">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2.投标产品选型较合理，主要机械组成部件的技术性能参数及功能参数指标较高，实用性较强、产品设计较合理、质量较可靠，得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60DE08E2">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3.投标产品选型一般，主要机械组成部件的技术性能参数及功能参数指标一般，实用性一般、产品设计一般、质量一般，得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F08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jc w:val="center"/>
        </w:trPr>
        <w:tc>
          <w:tcPr>
            <w:tcW w:w="816" w:type="dxa"/>
            <w:vMerge w:val="continue"/>
            <w:shd w:val="clear" w:color="000000" w:fill="FFFFFF"/>
            <w:vAlign w:val="center"/>
          </w:tcPr>
          <w:p w14:paraId="719BB67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shd w:val="clear" w:color="000000" w:fill="FFFFFF"/>
            <w:vAlign w:val="center"/>
          </w:tcPr>
          <w:p w14:paraId="235BD1CE">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p>
        </w:tc>
        <w:tc>
          <w:tcPr>
            <w:tcW w:w="1038" w:type="dxa"/>
            <w:vMerge w:val="continue"/>
            <w:shd w:val="clear" w:color="000000" w:fill="FFFFFF"/>
            <w:vAlign w:val="center"/>
          </w:tcPr>
          <w:p w14:paraId="7239ECA6">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233" w:type="dxa"/>
            <w:shd w:val="clear" w:color="000000" w:fill="FFFFFF"/>
            <w:vAlign w:val="center"/>
          </w:tcPr>
          <w:p w14:paraId="462FD595">
            <w:pPr>
              <w:pStyle w:val="14"/>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售后服务网点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售后服务人员</w:t>
            </w:r>
          </w:p>
        </w:tc>
        <w:tc>
          <w:tcPr>
            <w:tcW w:w="989" w:type="dxa"/>
            <w:shd w:val="clear" w:color="000000" w:fill="FFFFFF"/>
            <w:vAlign w:val="center"/>
          </w:tcPr>
          <w:p w14:paraId="0CFE860C">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4925" w:type="dxa"/>
            <w:shd w:val="clear" w:color="000000" w:fill="FFFFFF"/>
            <w:vAlign w:val="top"/>
          </w:tcPr>
          <w:p w14:paraId="45C73727">
            <w:pPr>
              <w:keepNext w:val="0"/>
              <w:keepLines w:val="0"/>
              <w:pageBreakBefore w:val="0"/>
              <w:numPr>
                <w:ilvl w:val="0"/>
                <w:numId w:val="0"/>
              </w:numPr>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投标人售后服务网点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售后服务人员</w:t>
            </w:r>
            <w:r>
              <w:rPr>
                <w:rFonts w:hint="eastAsia" w:ascii="宋体" w:hAnsi="宋体" w:eastAsia="宋体" w:cs="宋体"/>
                <w:color w:val="auto"/>
                <w:sz w:val="21"/>
                <w:szCs w:val="21"/>
                <w:highlight w:val="none"/>
                <w:lang w:val="en-US" w:eastAsia="zh-CN"/>
              </w:rPr>
              <w:t>分布和数量合理完善，售后响应时间及时得8-10分；</w:t>
            </w:r>
          </w:p>
          <w:p w14:paraId="23963615">
            <w:pPr>
              <w:pStyle w:val="15"/>
              <w:keepNext w:val="0"/>
              <w:keepLines w:val="0"/>
              <w:pageBreakBefore w:val="0"/>
              <w:numPr>
                <w:ilvl w:val="0"/>
                <w:numId w:val="0"/>
              </w:numPr>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投标人售后服务网点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售后服务人员</w:t>
            </w:r>
            <w:r>
              <w:rPr>
                <w:rFonts w:hint="eastAsia" w:ascii="宋体" w:hAnsi="宋体" w:eastAsia="宋体" w:cs="宋体"/>
                <w:color w:val="auto"/>
                <w:sz w:val="21"/>
                <w:szCs w:val="21"/>
                <w:highlight w:val="none"/>
                <w:lang w:val="en-US" w:eastAsia="zh-CN"/>
              </w:rPr>
              <w:t>分布和数量较合理完善，售后响应时间较及时得6-8分；</w:t>
            </w:r>
          </w:p>
          <w:p w14:paraId="0A8D8B6B">
            <w:pPr>
              <w:pStyle w:val="15"/>
              <w:keepNext w:val="0"/>
              <w:keepLines w:val="0"/>
              <w:pageBreakBefore w:val="0"/>
              <w:numPr>
                <w:ilvl w:val="0"/>
                <w:numId w:val="0"/>
              </w:numPr>
              <w:kinsoku/>
              <w:wordWrap/>
              <w:overflowPunct/>
              <w:topLinePunct w:val="0"/>
              <w:bidi w:val="0"/>
              <w:snapToGrid w:val="0"/>
              <w:spacing w:line="320" w:lineRule="exact"/>
              <w:ind w:left="0" w:lef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投标人售后服务网点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售后服务人员</w:t>
            </w:r>
            <w:r>
              <w:rPr>
                <w:rFonts w:hint="eastAsia" w:ascii="宋体" w:hAnsi="宋体" w:eastAsia="宋体" w:cs="宋体"/>
                <w:color w:val="auto"/>
                <w:sz w:val="21"/>
                <w:szCs w:val="21"/>
                <w:highlight w:val="none"/>
                <w:lang w:val="en-US" w:eastAsia="zh-CN"/>
              </w:rPr>
              <w:t>分布和数量基本可行，售后响应时间一般得6分；</w:t>
            </w:r>
          </w:p>
        </w:tc>
      </w:tr>
      <w:tr w14:paraId="11D99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0" w:hRule="atLeast"/>
          <w:jc w:val="center"/>
        </w:trPr>
        <w:tc>
          <w:tcPr>
            <w:tcW w:w="816" w:type="dxa"/>
            <w:vMerge w:val="continue"/>
            <w:shd w:val="clear" w:color="000000" w:fill="FFFFFF"/>
            <w:vAlign w:val="center"/>
          </w:tcPr>
          <w:p w14:paraId="3C57E88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shd w:val="clear" w:color="000000" w:fill="FFFFFF"/>
            <w:vAlign w:val="center"/>
          </w:tcPr>
          <w:p w14:paraId="2098AF6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p>
        </w:tc>
        <w:tc>
          <w:tcPr>
            <w:tcW w:w="1038" w:type="dxa"/>
            <w:vMerge w:val="continue"/>
            <w:shd w:val="clear" w:color="000000" w:fill="FFFFFF"/>
            <w:vAlign w:val="center"/>
          </w:tcPr>
          <w:p w14:paraId="03BD844D">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233" w:type="dxa"/>
            <w:tcBorders>
              <w:top w:val="single" w:color="auto" w:sz="4" w:space="0"/>
            </w:tcBorders>
            <w:shd w:val="clear" w:color="000000" w:fill="FFFFFF"/>
            <w:vAlign w:val="center"/>
          </w:tcPr>
          <w:p w14:paraId="6F3B60B2">
            <w:pPr>
              <w:pStyle w:val="14"/>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供货能力及进度保障</w:t>
            </w:r>
          </w:p>
        </w:tc>
        <w:tc>
          <w:tcPr>
            <w:tcW w:w="989" w:type="dxa"/>
            <w:shd w:val="clear" w:color="000000" w:fill="FFFFFF"/>
            <w:vAlign w:val="center"/>
          </w:tcPr>
          <w:p w14:paraId="5C7B2D2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925" w:type="dxa"/>
            <w:shd w:val="clear" w:color="000000" w:fill="FFFFFF"/>
            <w:vAlign w:val="top"/>
          </w:tcPr>
          <w:p w14:paraId="4D7A83DA">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1.投标人提供的供货方案切实可行、供货能力强、交货进度有保障、能够保质保量的完成供货，针对供货过程中的特殊情况有预案，得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7A34E3E">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2.投标人提供的供货方案可行、供货能力较强、交货进度满足招标文件要求，得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139496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3.投标人提供的供货方案一般、供货能力一般、交货进度基本满足招标文件要求，得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4777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816" w:type="dxa"/>
            <w:vMerge w:val="continue"/>
            <w:shd w:val="clear" w:color="000000" w:fill="FFFFFF"/>
            <w:vAlign w:val="center"/>
          </w:tcPr>
          <w:p w14:paraId="2921705C">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shd w:val="clear" w:color="000000" w:fill="FFFFFF"/>
            <w:vAlign w:val="center"/>
          </w:tcPr>
          <w:p w14:paraId="26990C4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p>
        </w:tc>
        <w:tc>
          <w:tcPr>
            <w:tcW w:w="1038" w:type="dxa"/>
            <w:vMerge w:val="continue"/>
            <w:shd w:val="clear" w:color="000000" w:fill="FFFFFF"/>
            <w:vAlign w:val="center"/>
          </w:tcPr>
          <w:p w14:paraId="319E9AC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233" w:type="dxa"/>
            <w:shd w:val="clear" w:color="000000" w:fill="FFFFFF"/>
            <w:vAlign w:val="center"/>
          </w:tcPr>
          <w:p w14:paraId="2DB3288C">
            <w:pPr>
              <w:pStyle w:val="14"/>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技术服务</w:t>
            </w:r>
            <w:r>
              <w:rPr>
                <w:rFonts w:hint="eastAsia" w:ascii="宋体" w:hAnsi="宋体" w:eastAsia="宋体" w:cs="宋体"/>
                <w:color w:val="auto"/>
                <w:sz w:val="21"/>
                <w:szCs w:val="21"/>
                <w:highlight w:val="none"/>
                <w:lang w:val="en-US"/>
              </w:rPr>
              <w:t>及质保期</w:t>
            </w:r>
            <w:r>
              <w:rPr>
                <w:rFonts w:hint="eastAsia" w:ascii="宋体" w:hAnsi="宋体" w:eastAsia="宋体" w:cs="宋体"/>
                <w:color w:val="auto"/>
                <w:sz w:val="21"/>
                <w:szCs w:val="21"/>
                <w:highlight w:val="none"/>
              </w:rPr>
              <w:t>服务</w:t>
            </w:r>
          </w:p>
        </w:tc>
        <w:tc>
          <w:tcPr>
            <w:tcW w:w="989" w:type="dxa"/>
            <w:shd w:val="clear" w:color="000000" w:fill="FFFFFF"/>
            <w:vAlign w:val="center"/>
          </w:tcPr>
          <w:p w14:paraId="426C2E77">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925" w:type="dxa"/>
            <w:tcBorders>
              <w:bottom w:val="single" w:color="auto" w:sz="4" w:space="0"/>
            </w:tcBorders>
            <w:shd w:val="clear" w:color="000000" w:fill="FFFFFF"/>
            <w:vAlign w:val="center"/>
          </w:tcPr>
          <w:p w14:paraId="388F4D14">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服务方案切实可行，针对性强，</w:t>
            </w:r>
            <w:r>
              <w:rPr>
                <w:rFonts w:hint="eastAsia" w:ascii="宋体" w:hAnsi="宋体" w:eastAsia="宋体" w:cs="宋体"/>
                <w:color w:val="auto"/>
                <w:sz w:val="21"/>
                <w:szCs w:val="21"/>
                <w:highlight w:val="none"/>
              </w:rPr>
              <w:t>服务体系完善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14:paraId="0E3FA4D5">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服务方案较切实可行，针对性较强，</w:t>
            </w:r>
            <w:r>
              <w:rPr>
                <w:rFonts w:hint="eastAsia" w:ascii="宋体" w:hAnsi="宋体" w:eastAsia="宋体" w:cs="宋体"/>
                <w:color w:val="auto"/>
                <w:sz w:val="21"/>
                <w:szCs w:val="21"/>
                <w:highlight w:val="none"/>
              </w:rPr>
              <w:t>服务体系较完善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14:paraId="0191BA30">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服务方案基本可行，</w:t>
            </w:r>
            <w:r>
              <w:rPr>
                <w:rFonts w:hint="eastAsia" w:ascii="宋体" w:hAnsi="宋体" w:eastAsia="宋体" w:cs="宋体"/>
                <w:color w:val="auto"/>
                <w:sz w:val="21"/>
                <w:szCs w:val="21"/>
                <w:highlight w:val="none"/>
              </w:rPr>
              <w:t>服务体系基本完善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tc>
      </w:tr>
      <w:tr w14:paraId="39EB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vAlign w:val="center"/>
          </w:tcPr>
          <w:p w14:paraId="6E45F069">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p>
        </w:tc>
        <w:tc>
          <w:tcPr>
            <w:tcW w:w="709" w:type="dxa"/>
            <w:shd w:val="clear" w:color="000000" w:fill="FFFFFF"/>
            <w:vAlign w:val="center"/>
          </w:tcPr>
          <w:p w14:paraId="7F7943D6">
            <w:pPr>
              <w:keepNext w:val="0"/>
              <w:keepLines w:val="0"/>
              <w:pageBreakBefore w:val="0"/>
              <w:kinsoku/>
              <w:wordWrap/>
              <w:overflowPunct/>
              <w:topLinePunct w:val="0"/>
              <w:bidi w:val="0"/>
              <w:snapToGrid w:val="0"/>
              <w:spacing w:line="320" w:lineRule="exact"/>
              <w:ind w:left="126" w:hanging="126" w:hangingChars="60"/>
              <w:jc w:val="both"/>
              <w:textAlignment w:val="auto"/>
              <w:rPr>
                <w:rFonts w:hint="eastAsia" w:ascii="宋体" w:hAnsi="宋体" w:eastAsia="宋体" w:cs="宋体"/>
                <w:color w:val="auto"/>
                <w:sz w:val="21"/>
                <w:szCs w:val="21"/>
                <w:highlight w:val="none"/>
              </w:rPr>
            </w:pPr>
            <w:r>
              <w:rPr>
                <w:rFonts w:hint="eastAsia" w:ascii="宋体" w:hAnsi="宋体" w:eastAsia="宋体" w:cs="宋体"/>
                <w:caps w:val="0"/>
                <w:spacing w:val="0"/>
                <w:kern w:val="0"/>
                <w:sz w:val="21"/>
                <w:szCs w:val="21"/>
                <w:highlight w:val="none"/>
              </w:rPr>
              <w:t>评标价</w:t>
            </w:r>
          </w:p>
        </w:tc>
        <w:tc>
          <w:tcPr>
            <w:tcW w:w="1038" w:type="dxa"/>
            <w:shd w:val="clear" w:color="000000" w:fill="FFFFFF"/>
            <w:vAlign w:val="center"/>
          </w:tcPr>
          <w:p w14:paraId="036D53E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zh-CN"/>
              </w:rPr>
              <w:t>分</w:t>
            </w:r>
          </w:p>
        </w:tc>
        <w:tc>
          <w:tcPr>
            <w:tcW w:w="7147" w:type="dxa"/>
            <w:gridSpan w:val="3"/>
            <w:shd w:val="clear" w:color="000000" w:fill="FFFFFF"/>
            <w:vAlign w:val="center"/>
          </w:tcPr>
          <w:p w14:paraId="061CEE05">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评标价得分计算公式示例：</w:t>
            </w:r>
          </w:p>
          <w:p w14:paraId="027A8D67">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（1）如果投标人的评标价＞评标基准价，则评标价得分=F-（投标人评标价-评标基准价）/评标基准价×100×E1；</w:t>
            </w:r>
          </w:p>
          <w:p w14:paraId="234EBA22">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（2）如果投标人的评标价≤评标基准价，则评标价得分=F+（投标人评标价-评标基准价）/评标基准价×100×E2。</w:t>
            </w:r>
          </w:p>
          <w:p w14:paraId="4AE41DEB">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其中，F=</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0；E1=0.</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；E2=0.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；评标价最低得分为0分。</w:t>
            </w:r>
          </w:p>
          <w:p w14:paraId="7BF05B0C">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2"/>
                <w:sz w:val="21"/>
                <w:szCs w:val="21"/>
                <w:highlight w:val="none"/>
              </w:rPr>
              <w:t>评标价得分保留两位小数，第三位四舍五入。</w:t>
            </w:r>
          </w:p>
        </w:tc>
      </w:tr>
      <w:tr w14:paraId="4CB0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vAlign w:val="center"/>
          </w:tcPr>
          <w:p w14:paraId="0304EE2E">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709" w:type="dxa"/>
            <w:shd w:val="clear" w:color="000000" w:fill="FFFFFF"/>
            <w:vAlign w:val="center"/>
          </w:tcPr>
          <w:p w14:paraId="28C99D2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aps w:val="0"/>
                <w:spacing w:val="0"/>
                <w:kern w:val="0"/>
                <w:sz w:val="21"/>
                <w:szCs w:val="21"/>
                <w:highlight w:val="none"/>
              </w:rPr>
            </w:pPr>
            <w:r>
              <w:rPr>
                <w:rFonts w:hint="eastAsia" w:ascii="宋体" w:hAnsi="宋体" w:eastAsia="宋体" w:cs="宋体"/>
                <w:caps w:val="0"/>
                <w:spacing w:val="0"/>
                <w:kern w:val="0"/>
                <w:sz w:val="21"/>
                <w:szCs w:val="21"/>
                <w:highlight w:val="none"/>
                <w:lang w:val="en-US" w:eastAsia="zh-CN"/>
              </w:rPr>
              <w:t>其他因素</w:t>
            </w:r>
          </w:p>
        </w:tc>
        <w:tc>
          <w:tcPr>
            <w:tcW w:w="1038" w:type="dxa"/>
            <w:shd w:val="clear" w:color="000000" w:fill="FFFFFF"/>
            <w:vAlign w:val="center"/>
          </w:tcPr>
          <w:p w14:paraId="33C9F0C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147" w:type="dxa"/>
            <w:gridSpan w:val="3"/>
            <w:shd w:val="clear" w:color="000000" w:fill="FFFFFF"/>
            <w:vAlign w:val="center"/>
          </w:tcPr>
          <w:p w14:paraId="49D1A633">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w:t>
            </w:r>
          </w:p>
        </w:tc>
      </w:tr>
    </w:tbl>
    <w:p w14:paraId="3A17E649">
      <w:pPr>
        <w:rPr>
          <w:rFonts w:hint="eastAsia" w:ascii="宋体" w:hAnsi="宋体" w:cs="宋体"/>
          <w:color w:val="auto"/>
          <w:spacing w:val="2"/>
          <w:sz w:val="24"/>
          <w:szCs w:val="24"/>
          <w:highlight w:val="none"/>
        </w:rPr>
      </w:pPr>
    </w:p>
    <w:p w14:paraId="0864E4A6">
      <w:pPr>
        <w:adjustRightIn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注：1.评委打分保留一位小数，各评分因素得分应以评标委员会各成员的打分平均值确定，保留两位小数，第三位四舍五入。</w:t>
      </w:r>
    </w:p>
    <w:p w14:paraId="04D0ABBA">
      <w:r>
        <w:rPr>
          <w:rFonts w:hint="eastAsia" w:ascii="宋体" w:hAnsi="宋体" w:eastAsia="宋体" w:cs="宋体"/>
          <w:color w:val="auto"/>
          <w:sz w:val="21"/>
          <w:szCs w:val="21"/>
          <w:highlight w:val="none"/>
        </w:rPr>
        <w:t>2.技术部分评分因素缺项则该项得0分</w:t>
      </w:r>
      <w:r>
        <w:rPr>
          <w:rFonts w:hint="eastAsia" w:ascii="宋体" w:hAnsi="宋体" w:cs="宋体"/>
          <w:color w:val="000000"/>
          <w:szCs w:val="21"/>
          <w:highlight w:val="none"/>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D9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rPr>
      <w:rFonts w:ascii="Times New Roman" w:hAnsi="Times New Roman" w:eastAsia="宋体" w:cs="Arial"/>
      <w:lang w:val="en-US" w:eastAsia="zh-CN" w:bidi="ar-SA"/>
    </w:rPr>
  </w:style>
  <w:style w:type="paragraph" w:styleId="2">
    <w:name w:val="heading 3"/>
    <w:basedOn w:val="1"/>
    <w:next w:val="1"/>
    <w:qFormat/>
    <w:uiPriority w:val="9"/>
    <w:pPr>
      <w:keepNext/>
      <w:keepLines/>
      <w:numPr>
        <w:ilvl w:val="2"/>
        <w:numId w:val="1"/>
      </w:numPr>
      <w:spacing w:before="260" w:after="260" w:line="412" w:lineRule="auto"/>
      <w:outlineLvl w:val="2"/>
    </w:pPr>
    <w:rPr>
      <w:rFonts w:cs="Times New Roman"/>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widowControl w:val="0"/>
      <w:spacing w:after="120"/>
      <w:jc w:val="both"/>
    </w:pPr>
    <w:rPr>
      <w:rFonts w:cs="Times New Roman"/>
      <w:kern w:val="2"/>
      <w:sz w:val="21"/>
      <w:szCs w:val="24"/>
    </w:rPr>
  </w:style>
  <w:style w:type="paragraph" w:customStyle="1" w:styleId="4">
    <w:name w:val="正文部分 Char Char Char"/>
    <w:basedOn w:val="3"/>
    <w:next w:val="5"/>
    <w:autoRedefine/>
    <w:qFormat/>
    <w:uiPriority w:val="0"/>
    <w:pPr>
      <w:spacing w:line="460" w:lineRule="exact"/>
      <w:textAlignment w:val="baseline"/>
    </w:pPr>
    <w:rPr>
      <w:sz w:val="24"/>
    </w:rPr>
  </w:style>
  <w:style w:type="paragraph" w:customStyle="1" w:styleId="5">
    <w:name w:val="章标题"/>
    <w:basedOn w:val="6"/>
    <w:autoRedefine/>
    <w:qFormat/>
    <w:uiPriority w:val="0"/>
    <w:pPr>
      <w:spacing w:line="360" w:lineRule="auto"/>
    </w:pPr>
  </w:style>
  <w:style w:type="paragraph" w:styleId="6">
    <w:name w:val="Title"/>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styleId="7">
    <w:name w:val="Body Text Indent"/>
    <w:basedOn w:val="1"/>
    <w:next w:val="1"/>
    <w:qFormat/>
    <w:uiPriority w:val="0"/>
    <w:pPr>
      <w:spacing w:after="120"/>
      <w:ind w:left="420" w:leftChars="200"/>
    </w:pPr>
  </w:style>
  <w:style w:type="paragraph" w:styleId="8">
    <w:name w:val="Body Text First Indent 2"/>
    <w:basedOn w:val="7"/>
    <w:next w:val="1"/>
    <w:qFormat/>
    <w:uiPriority w:val="0"/>
    <w:pPr>
      <w:widowControl w:val="0"/>
      <w:ind w:firstLine="420" w:firstLineChars="200"/>
      <w:jc w:val="both"/>
    </w:pPr>
    <w:rPr>
      <w:rFonts w:cs="Times New Roman"/>
      <w:kern w:val="2"/>
      <w:sz w:val="21"/>
      <w:szCs w:val="24"/>
    </w:rPr>
  </w:style>
  <w:style w:type="paragraph" w:styleId="11">
    <w:name w:val="List Paragraph"/>
    <w:basedOn w:val="1"/>
    <w:autoRedefine/>
    <w:qFormat/>
    <w:uiPriority w:val="0"/>
    <w:pPr>
      <w:ind w:firstLine="420"/>
    </w:pPr>
  </w:style>
  <w:style w:type="paragraph" w:customStyle="1" w:styleId="12">
    <w:name w:val="正文首行缩进 21"/>
    <w:basedOn w:val="13"/>
    <w:autoRedefine/>
    <w:qFormat/>
    <w:uiPriority w:val="0"/>
    <w:pPr>
      <w:widowControl w:val="0"/>
      <w:ind w:firstLine="420"/>
      <w:jc w:val="both"/>
    </w:pPr>
    <w:rPr>
      <w:rFonts w:cs="Times New Roman"/>
      <w:kern w:val="2"/>
      <w:sz w:val="21"/>
      <w:szCs w:val="24"/>
    </w:rPr>
  </w:style>
  <w:style w:type="paragraph" w:customStyle="1" w:styleId="13">
    <w:name w:val="正文文本缩进1"/>
    <w:basedOn w:val="1"/>
    <w:autoRedefine/>
    <w:qFormat/>
    <w:uiPriority w:val="0"/>
    <w:pPr>
      <w:spacing w:after="120"/>
      <w:ind w:left="420"/>
    </w:pPr>
  </w:style>
  <w:style w:type="paragraph" w:customStyle="1" w:styleId="14">
    <w:name w:val="Table Paragraph"/>
    <w:basedOn w:val="1"/>
    <w:autoRedefine/>
    <w:qFormat/>
    <w:uiPriority w:val="6"/>
    <w:pPr>
      <w:widowControl w:val="0"/>
      <w:autoSpaceDE w:val="0"/>
    </w:pPr>
    <w:rPr>
      <w:rFonts w:ascii="宋体" w:hAnsi="宋体" w:cs="宋体"/>
      <w:sz w:val="22"/>
      <w:szCs w:val="22"/>
      <w:lang w:val="zh-CN" w:bidi="zh-CN"/>
    </w:rPr>
  </w:style>
  <w:style w:type="paragraph" w:customStyle="1" w:styleId="15">
    <w:name w:val="Default"/>
    <w:next w:val="16"/>
    <w:autoRedefine/>
    <w:qFormat/>
    <w:uiPriority w:val="6"/>
    <w:pPr>
      <w:widowControl w:val="0"/>
      <w:autoSpaceDE w:val="0"/>
    </w:pPr>
    <w:rPr>
      <w:rFonts w:ascii="Times New Roman" w:hAnsi="Times New Roman" w:eastAsia="宋体" w:cs="Times New Roman"/>
      <w:color w:val="000000"/>
      <w:sz w:val="24"/>
      <w:szCs w:val="24"/>
      <w:lang w:val="en-US" w:eastAsia="zh-CN" w:bidi="ar-SA"/>
    </w:rPr>
  </w:style>
  <w:style w:type="paragraph" w:customStyle="1" w:styleId="16">
    <w:name w:val="大标题"/>
    <w:basedOn w:val="1"/>
    <w:next w:val="8"/>
    <w:qFormat/>
    <w:uiPriority w:val="0"/>
    <w:pPr>
      <w:jc w:val="center"/>
    </w:pPr>
    <w:rPr>
      <w:rFonts w:ascii="Arial" w:hAnsi="Arial"/>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2024-11-26T01:55:01Z</dcterms:created>
  <dc:creator>Administrator</dc:creator>
  <cp:lastModifiedBy>李娜</cp:lastModifiedBy>
  <dcterms:modified xsi:type="dcterms:W3CDTF">2024-11-26T01:55:23Z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3ED4324B35E4412D86716AB0B4C6C582_12</vt:lpwstr>
  </property>
</Properties>
</file>